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B67BA">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50E156CF">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5795E2E7">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6AA574FA">
      <w:pPr>
        <w:spacing w:line="360" w:lineRule="auto"/>
        <w:ind w:firstLine="1438" w:firstLineChars="398"/>
        <w:rPr>
          <w:rFonts w:hint="eastAsia" w:ascii="宋体" w:hAnsi="宋体"/>
          <w:b/>
          <w:color w:val="auto"/>
          <w:sz w:val="36"/>
          <w:highlight w:val="none"/>
        </w:rPr>
      </w:pPr>
    </w:p>
    <w:p w14:paraId="5F6051EC">
      <w:pPr>
        <w:spacing w:line="360" w:lineRule="auto"/>
        <w:ind w:firstLine="1438" w:firstLineChars="398"/>
        <w:rPr>
          <w:rFonts w:hint="eastAsia" w:ascii="宋体" w:hAnsi="宋体"/>
          <w:b/>
          <w:color w:val="auto"/>
          <w:sz w:val="36"/>
          <w:highlight w:val="none"/>
        </w:rPr>
      </w:pPr>
    </w:p>
    <w:p w14:paraId="623D1D18">
      <w:pPr>
        <w:spacing w:line="360" w:lineRule="auto"/>
        <w:ind w:firstLine="1438" w:firstLineChars="398"/>
        <w:rPr>
          <w:rFonts w:hint="eastAsia" w:ascii="宋体" w:hAnsi="宋体"/>
          <w:b/>
          <w:color w:val="auto"/>
          <w:sz w:val="36"/>
          <w:highlight w:val="none"/>
        </w:rPr>
      </w:pPr>
    </w:p>
    <w:p w14:paraId="5970B94C">
      <w:pPr>
        <w:spacing w:line="360" w:lineRule="auto"/>
        <w:ind w:firstLine="1438" w:firstLineChars="398"/>
        <w:rPr>
          <w:rFonts w:hint="eastAsia" w:ascii="宋体" w:hAnsi="宋体"/>
          <w:b/>
          <w:color w:val="auto"/>
          <w:sz w:val="36"/>
          <w:highlight w:val="none"/>
        </w:rPr>
      </w:pPr>
    </w:p>
    <w:p w14:paraId="02C2411E">
      <w:pPr>
        <w:spacing w:line="360" w:lineRule="auto"/>
        <w:ind w:firstLine="1438" w:firstLineChars="398"/>
        <w:rPr>
          <w:rFonts w:hint="eastAsia"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XM2025-DZ0041C1</w:t>
      </w:r>
    </w:p>
    <w:p w14:paraId="5B36BC16">
      <w:pPr>
        <w:spacing w:line="360" w:lineRule="auto"/>
        <w:ind w:left="3948" w:leftChars="684" w:hanging="2512" w:hangingChars="695"/>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项 目 名 称：</w:t>
      </w:r>
      <w:r>
        <w:rPr>
          <w:rFonts w:hint="eastAsia" w:ascii="宋体" w:hAnsi="宋体"/>
          <w:b/>
          <w:color w:val="auto"/>
          <w:sz w:val="36"/>
          <w:highlight w:val="none"/>
          <w:lang w:val="en-US" w:eastAsia="zh-CN"/>
        </w:rPr>
        <w:t>家具采购及安装</w:t>
      </w:r>
    </w:p>
    <w:p w14:paraId="50C1DE4E">
      <w:pPr>
        <w:spacing w:line="360" w:lineRule="auto"/>
        <w:ind w:firstLine="1438" w:firstLineChars="398"/>
        <w:rPr>
          <w:rFonts w:hint="eastAsia" w:ascii="宋体" w:hAnsi="宋体"/>
          <w:b/>
          <w:color w:val="auto"/>
          <w:sz w:val="36"/>
          <w:highlight w:val="none"/>
        </w:rPr>
      </w:pPr>
    </w:p>
    <w:p w14:paraId="4C77F1DD">
      <w:pPr>
        <w:spacing w:line="360" w:lineRule="auto"/>
        <w:ind w:firstLine="1438" w:firstLineChars="398"/>
        <w:rPr>
          <w:rFonts w:hint="eastAsia" w:ascii="宋体" w:hAnsi="宋体"/>
          <w:b/>
          <w:color w:val="auto"/>
          <w:sz w:val="36"/>
          <w:highlight w:val="none"/>
        </w:rPr>
      </w:pPr>
    </w:p>
    <w:p w14:paraId="4D3124DB">
      <w:pPr>
        <w:spacing w:line="360" w:lineRule="auto"/>
        <w:ind w:firstLine="1438" w:firstLineChars="398"/>
        <w:rPr>
          <w:rFonts w:hint="eastAsia" w:ascii="宋体" w:hAnsi="宋体"/>
          <w:b/>
          <w:color w:val="auto"/>
          <w:sz w:val="36"/>
          <w:highlight w:val="none"/>
        </w:rPr>
      </w:pPr>
    </w:p>
    <w:p w14:paraId="18A88147">
      <w:pPr>
        <w:spacing w:line="360" w:lineRule="auto"/>
        <w:ind w:firstLine="1438" w:firstLineChars="398"/>
        <w:rPr>
          <w:rFonts w:hint="eastAsia" w:ascii="宋体" w:hAnsi="宋体"/>
          <w:b/>
          <w:color w:val="auto"/>
          <w:sz w:val="36"/>
          <w:highlight w:val="none"/>
        </w:rPr>
      </w:pPr>
    </w:p>
    <w:p w14:paraId="276EEFBF">
      <w:pPr>
        <w:spacing w:line="360" w:lineRule="auto"/>
        <w:ind w:firstLine="1438" w:firstLineChars="398"/>
        <w:rPr>
          <w:rFonts w:hint="eastAsia" w:ascii="宋体" w:hAnsi="宋体"/>
          <w:b/>
          <w:color w:val="auto"/>
          <w:sz w:val="36"/>
          <w:highlight w:val="none"/>
        </w:rPr>
      </w:pPr>
    </w:p>
    <w:p w14:paraId="71FDBBE1">
      <w:pPr>
        <w:pStyle w:val="5"/>
        <w:spacing w:line="360" w:lineRule="auto"/>
        <w:ind w:firstLine="1438" w:firstLineChars="398"/>
        <w:jc w:val="left"/>
        <w:rPr>
          <w:rFonts w:hint="eastAsia" w:hAnsi="宋体"/>
          <w:b/>
          <w:color w:val="auto"/>
          <w:spacing w:val="20"/>
          <w:sz w:val="32"/>
          <w:highlight w:val="none"/>
        </w:rPr>
      </w:pPr>
    </w:p>
    <w:p w14:paraId="040A00BC">
      <w:pPr>
        <w:pStyle w:val="5"/>
        <w:spacing w:line="360" w:lineRule="auto"/>
        <w:ind w:firstLine="1438" w:firstLineChars="398"/>
        <w:jc w:val="left"/>
        <w:rPr>
          <w:rFonts w:hint="eastAsia" w:hAnsi="宋体"/>
          <w:b/>
          <w:bCs/>
          <w:color w:val="auto"/>
          <w:sz w:val="32"/>
          <w:highlight w:val="none"/>
          <w:u w:val="single"/>
        </w:rPr>
      </w:pPr>
      <w:r>
        <w:rPr>
          <w:rFonts w:hint="eastAsia" w:hAnsi="宋体"/>
          <w:b/>
          <w:color w:val="auto"/>
          <w:spacing w:val="20"/>
          <w:sz w:val="32"/>
          <w:highlight w:val="none"/>
        </w:rPr>
        <w:t>使用单位：</w:t>
      </w:r>
      <w:r>
        <w:rPr>
          <w:rFonts w:hint="eastAsia" w:hAnsi="宋体"/>
          <w:b/>
          <w:color w:val="auto"/>
          <w:spacing w:val="20"/>
          <w:sz w:val="32"/>
          <w:highlight w:val="none"/>
          <w:lang w:eastAsia="zh-CN"/>
        </w:rPr>
        <w:t>厦门市大同中学</w:t>
      </w:r>
    </w:p>
    <w:p w14:paraId="5DB08CAD">
      <w:pPr>
        <w:pStyle w:val="5"/>
        <w:spacing w:line="360" w:lineRule="auto"/>
        <w:ind w:firstLine="1438" w:firstLineChars="398"/>
        <w:jc w:val="left"/>
        <w:rPr>
          <w:rFonts w:hint="eastAsia" w:hAnsi="宋体"/>
          <w:b/>
          <w:bCs/>
          <w:color w:val="auto"/>
          <w:sz w:val="32"/>
          <w:highlight w:val="none"/>
        </w:rPr>
      </w:pPr>
      <w:r>
        <w:rPr>
          <w:rFonts w:hint="eastAsia" w:hAnsi="宋体"/>
          <w:b/>
          <w:color w:val="auto"/>
          <w:spacing w:val="20"/>
          <w:sz w:val="32"/>
          <w:highlight w:val="none"/>
        </w:rPr>
        <w:t>采购单位：</w:t>
      </w:r>
      <w:r>
        <w:rPr>
          <w:rFonts w:hint="eastAsia" w:hAnsi="宋体"/>
          <w:b/>
          <w:bCs/>
          <w:color w:val="auto"/>
          <w:sz w:val="32"/>
          <w:highlight w:val="none"/>
        </w:rPr>
        <w:t>厦门万翔网络商务有限公司</w:t>
      </w:r>
    </w:p>
    <w:p w14:paraId="12140CB4">
      <w:pPr>
        <w:pStyle w:val="5"/>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 xml:space="preserve">厦门万翔招标有限公司 </w:t>
      </w:r>
      <w:r>
        <w:rPr>
          <w:rFonts w:hint="eastAsia" w:hAnsi="宋体"/>
          <w:b/>
          <w:color w:val="auto"/>
          <w:spacing w:val="20"/>
          <w:sz w:val="32"/>
          <w:highlight w:val="none"/>
        </w:rPr>
        <w:t xml:space="preserve"> </w:t>
      </w:r>
    </w:p>
    <w:p w14:paraId="07F69212">
      <w:pPr>
        <w:spacing w:line="360" w:lineRule="auto"/>
        <w:ind w:firstLine="1438" w:firstLineChars="398"/>
        <w:rPr>
          <w:rFonts w:hint="eastAsia" w:ascii="宋体" w:hAnsi="宋体"/>
          <w:b/>
          <w:color w:val="auto"/>
          <w:sz w:val="36"/>
          <w:highlight w:val="none"/>
        </w:rPr>
      </w:pPr>
    </w:p>
    <w:p w14:paraId="2F563CA2">
      <w:pPr>
        <w:pStyle w:val="5"/>
        <w:spacing w:line="360" w:lineRule="auto"/>
        <w:jc w:val="center"/>
        <w:outlineLvl w:val="0"/>
        <w:rPr>
          <w:rFonts w:hint="default" w:hAnsi="宋体" w:eastAsia="宋体"/>
          <w:b/>
          <w:color w:val="auto"/>
          <w:sz w:val="32"/>
          <w:highlight w:val="none"/>
          <w:lang w:val="en-US" w:eastAsia="zh-CN"/>
        </w:rPr>
      </w:pPr>
      <w:r>
        <w:rPr>
          <w:rFonts w:hint="eastAsia" w:hAnsi="宋体"/>
          <w:b/>
          <w:color w:val="auto"/>
          <w:sz w:val="32"/>
          <w:highlight w:val="none"/>
          <w:lang w:eastAsia="zh-CN"/>
        </w:rPr>
        <w:t>2025</w:t>
      </w:r>
      <w:r>
        <w:rPr>
          <w:rFonts w:hint="eastAsia" w:hAnsi="宋体"/>
          <w:b/>
          <w:color w:val="auto"/>
          <w:sz w:val="32"/>
          <w:highlight w:val="none"/>
        </w:rPr>
        <w:t>年</w:t>
      </w:r>
      <w:r>
        <w:rPr>
          <w:rFonts w:hint="eastAsia" w:hAnsi="宋体"/>
          <w:b/>
          <w:color w:val="auto"/>
          <w:sz w:val="32"/>
          <w:highlight w:val="none"/>
          <w:lang w:val="en-US" w:eastAsia="zh-CN"/>
        </w:rPr>
        <w:t>9月</w:t>
      </w:r>
    </w:p>
    <w:p w14:paraId="614B37B9">
      <w:pPr>
        <w:pStyle w:val="5"/>
        <w:spacing w:line="360" w:lineRule="auto"/>
        <w:jc w:val="both"/>
        <w:outlineLvl w:val="0"/>
        <w:rPr>
          <w:rFonts w:hint="eastAsia" w:hAnsi="宋体"/>
          <w:b/>
          <w:color w:val="auto"/>
          <w:sz w:val="32"/>
          <w:highlight w:val="none"/>
        </w:rPr>
      </w:pPr>
    </w:p>
    <w:p w14:paraId="28884BCE">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5153310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2BC1474F">
      <w:pPr>
        <w:rPr>
          <w:rFonts w:hint="eastAsia" w:ascii="宋体" w:hAnsi="宋体" w:eastAsia="宋体" w:cs="宋体"/>
          <w:color w:val="auto"/>
          <w:sz w:val="24"/>
          <w:szCs w:val="24"/>
          <w:highlight w:val="none"/>
        </w:rPr>
      </w:pPr>
    </w:p>
    <w:p w14:paraId="19B4FF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08E266AE">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724EA6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7522AF9E">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1358477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0B2F0B9F">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6500E5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384FE005">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0EE0F0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77A60A81">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6E29A2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（五）厦门银行股份有限公司 </w:t>
      </w:r>
    </w:p>
    <w:p w14:paraId="0AC9CC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5EE4D9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30138C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404EA689">
      <w:pPr>
        <w:spacing w:line="360" w:lineRule="auto"/>
        <w:ind w:firstLine="480" w:firstLineChars="200"/>
        <w:rPr>
          <w:rFonts w:hint="eastAsia" w:ascii="宋体" w:hAnsi="宋体" w:eastAsia="宋体" w:cs="宋体"/>
          <w:color w:val="auto"/>
          <w:sz w:val="24"/>
          <w:szCs w:val="24"/>
          <w:highlight w:val="none"/>
        </w:rPr>
      </w:pPr>
    </w:p>
    <w:p w14:paraId="618CA028">
      <w:pPr>
        <w:spacing w:line="360" w:lineRule="auto"/>
        <w:ind w:firstLine="480" w:firstLineChars="200"/>
        <w:rPr>
          <w:rFonts w:hint="eastAsia" w:ascii="宋体" w:hAnsi="宋体" w:eastAsia="宋体" w:cs="宋体"/>
          <w:color w:val="auto"/>
          <w:sz w:val="24"/>
          <w:szCs w:val="24"/>
          <w:highlight w:val="none"/>
        </w:rPr>
      </w:pPr>
    </w:p>
    <w:p w14:paraId="76BDC3DE">
      <w:pPr>
        <w:spacing w:line="360" w:lineRule="auto"/>
        <w:ind w:firstLine="480" w:firstLineChars="200"/>
        <w:rPr>
          <w:rFonts w:hint="eastAsia" w:ascii="宋体" w:hAnsi="宋体" w:eastAsia="宋体" w:cs="宋体"/>
          <w:color w:val="auto"/>
          <w:sz w:val="24"/>
          <w:szCs w:val="24"/>
          <w:highlight w:val="none"/>
        </w:rPr>
      </w:pPr>
    </w:p>
    <w:p w14:paraId="78BEC77C">
      <w:pPr>
        <w:spacing w:line="360" w:lineRule="auto"/>
        <w:ind w:firstLine="480" w:firstLineChars="200"/>
        <w:rPr>
          <w:rFonts w:hint="eastAsia" w:ascii="宋体" w:hAnsi="宋体" w:eastAsia="宋体" w:cs="宋体"/>
          <w:color w:val="auto"/>
          <w:sz w:val="24"/>
          <w:szCs w:val="24"/>
          <w:highlight w:val="none"/>
        </w:rPr>
      </w:pPr>
    </w:p>
    <w:p w14:paraId="0E057857">
      <w:pPr>
        <w:spacing w:line="360" w:lineRule="auto"/>
        <w:ind w:firstLine="0" w:firstLineChars="0"/>
        <w:rPr>
          <w:rFonts w:hint="eastAsia" w:ascii="宋体" w:hAnsi="宋体" w:eastAsia="宋体" w:cs="宋体"/>
          <w:color w:val="auto"/>
          <w:sz w:val="24"/>
          <w:szCs w:val="24"/>
          <w:highlight w:val="none"/>
        </w:rPr>
      </w:pPr>
    </w:p>
    <w:p w14:paraId="7AD6BF98">
      <w:pPr>
        <w:pStyle w:val="5"/>
        <w:spacing w:line="360" w:lineRule="auto"/>
        <w:jc w:val="center"/>
        <w:outlineLvl w:val="0"/>
        <w:rPr>
          <w:rFonts w:hint="eastAsia" w:hAnsi="宋体" w:eastAsia="宋体" w:cs="宋体"/>
          <w:b/>
          <w:bCs/>
          <w:color w:val="auto"/>
          <w:sz w:val="32"/>
          <w:szCs w:val="32"/>
          <w:highlight w:val="none"/>
        </w:rPr>
      </w:pPr>
      <w:r>
        <w:rPr>
          <w:rFonts w:hint="eastAsia" w:hAnsi="宋体" w:eastAsia="宋体" w:cs="宋体"/>
          <w:b/>
          <w:bCs/>
          <w:color w:val="auto"/>
          <w:sz w:val="32"/>
          <w:szCs w:val="32"/>
          <w:highlight w:val="none"/>
        </w:rPr>
        <w:t xml:space="preserve">  目   录</w:t>
      </w:r>
    </w:p>
    <w:p w14:paraId="7A79484E">
      <w:pPr>
        <w:pStyle w:val="2"/>
        <w:snapToGrid w:val="0"/>
        <w:spacing w:line="360" w:lineRule="auto"/>
        <w:ind w:firstLine="0"/>
        <w:rPr>
          <w:rFonts w:hint="eastAsia" w:ascii="宋体" w:hAnsi="宋体" w:eastAsia="宋体" w:cs="宋体"/>
          <w:color w:val="auto"/>
          <w:sz w:val="24"/>
          <w:szCs w:val="24"/>
          <w:highlight w:val="none"/>
        </w:rPr>
      </w:pPr>
    </w:p>
    <w:p w14:paraId="79B53929">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3410BA4C">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549A9FC2">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082E40DC">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3F405444">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418DBA72">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7840E58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748F431B">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44D4FC07">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07C8A419">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0BDA8461">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404AD5B4">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第四章    政府</w:t>
      </w:r>
      <w:r>
        <w:rPr>
          <w:rFonts w:hint="eastAsia" w:ascii="宋体" w:hAnsi="宋体" w:eastAsia="宋体" w:cs="宋体"/>
          <w:bCs/>
          <w:color w:val="auto"/>
          <w:sz w:val="24"/>
          <w:szCs w:val="24"/>
          <w:highlight w:val="none"/>
        </w:rPr>
        <w:t xml:space="preserve">采购合同 </w:t>
      </w:r>
      <w:r>
        <w:rPr>
          <w:rFonts w:hint="eastAsia" w:ascii="宋体" w:hAnsi="宋体" w:eastAsia="宋体" w:cs="宋体"/>
          <w:color w:val="auto"/>
          <w:sz w:val="24"/>
          <w:szCs w:val="24"/>
          <w:highlight w:val="none"/>
        </w:rPr>
        <w:t>…………………………………………4-1</w:t>
      </w:r>
    </w:p>
    <w:p w14:paraId="020A5C7F">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28D29CBF">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14:paraId="09377429">
      <w:pPr>
        <w:pStyle w:val="17"/>
        <w:spacing w:line="360" w:lineRule="auto"/>
        <w:jc w:val="center"/>
        <w:rPr>
          <w:rFonts w:hint="eastAsia" w:hAnsi="宋体" w:eastAsia="宋体" w:cs="宋体"/>
          <w:b/>
          <w:bCs/>
          <w:color w:val="auto"/>
          <w:sz w:val="32"/>
          <w:szCs w:val="32"/>
          <w:highlight w:val="none"/>
        </w:rPr>
      </w:pPr>
      <w:r>
        <w:rPr>
          <w:rFonts w:hint="eastAsia" w:hAnsi="宋体" w:eastAsia="宋体" w:cs="宋体"/>
          <w:b/>
          <w:color w:val="auto"/>
          <w:sz w:val="32"/>
          <w:szCs w:val="32"/>
          <w:highlight w:val="none"/>
        </w:rPr>
        <w:t>第一章  投标邀请函</w:t>
      </w:r>
    </w:p>
    <w:p w14:paraId="1171E7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color w:val="auto"/>
          <w:sz w:val="24"/>
          <w:szCs w:val="24"/>
          <w:highlight w:val="none"/>
        </w:rPr>
        <w:t>对【</w:t>
      </w:r>
      <w:r>
        <w:rPr>
          <w:rFonts w:hint="eastAsia" w:ascii="宋体" w:hAnsi="宋体" w:cs="宋体"/>
          <w:b/>
          <w:bCs/>
          <w:color w:val="auto"/>
          <w:sz w:val="24"/>
          <w:szCs w:val="24"/>
          <w:highlight w:val="none"/>
          <w:u w:val="single"/>
          <w:lang w:val="en-US" w:eastAsia="zh-CN"/>
        </w:rPr>
        <w:t>家具采购及安装</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货物（或服务）进行</w:t>
      </w:r>
      <w:r>
        <w:rPr>
          <w:rFonts w:hint="eastAsia" w:ascii="宋体" w:hAnsi="宋体" w:eastAsia="宋体" w:cs="宋体"/>
          <w:b/>
          <w:bCs/>
          <w:color w:val="auto"/>
          <w:sz w:val="24"/>
          <w:szCs w:val="24"/>
          <w:highlight w:val="none"/>
          <w:u w:val="single"/>
        </w:rPr>
        <w:t>国内公开招标</w:t>
      </w:r>
      <w:r>
        <w:rPr>
          <w:rFonts w:hint="eastAsia" w:ascii="宋体" w:hAnsi="宋体" w:eastAsia="宋体" w:cs="宋体"/>
          <w:color w:val="auto"/>
          <w:sz w:val="24"/>
          <w:szCs w:val="24"/>
          <w:highlight w:val="none"/>
        </w:rPr>
        <w:t>，现欢迎国内合格的投标人前来投标。</w:t>
      </w:r>
    </w:p>
    <w:p w14:paraId="6EB31BEA">
      <w:pPr>
        <w:spacing w:line="360" w:lineRule="auto"/>
        <w:ind w:firstLine="360" w:firstLineChars="1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XM2025-DZ0041C1</w:t>
      </w:r>
      <w:r>
        <w:rPr>
          <w:rFonts w:hint="eastAsia" w:ascii="宋体" w:hAnsi="宋体" w:eastAsia="宋体" w:cs="宋体"/>
          <w:color w:val="auto"/>
          <w:sz w:val="24"/>
          <w:szCs w:val="24"/>
          <w:highlight w:val="none"/>
          <w:u w:val="single"/>
        </w:rPr>
        <w:t xml:space="preserve">。 </w:t>
      </w:r>
    </w:p>
    <w:p w14:paraId="2CF9B64F">
      <w:pPr>
        <w:spacing w:line="360" w:lineRule="auto"/>
        <w:ind w:firstLine="318" w:firstLineChars="150"/>
        <w:rPr>
          <w:rFonts w:hint="eastAsia" w:ascii="宋体" w:hAnsi="宋体" w:eastAsia="宋体" w:cs="宋体"/>
          <w:color w:val="auto"/>
          <w:spacing w:val="-14"/>
          <w:sz w:val="24"/>
          <w:szCs w:val="24"/>
          <w:highlight w:val="none"/>
        </w:rPr>
      </w:pPr>
      <w:r>
        <w:rPr>
          <w:rFonts w:hint="eastAsia" w:ascii="宋体" w:hAnsi="宋体" w:eastAsia="宋体" w:cs="宋体"/>
          <w:color w:val="auto"/>
          <w:spacing w:val="-14"/>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14"/>
          <w:sz w:val="24"/>
          <w:szCs w:val="24"/>
          <w:highlight w:val="none"/>
        </w:rPr>
        <w:t>服务）</w:t>
      </w:r>
      <w:r>
        <w:rPr>
          <w:rFonts w:hint="eastAsia" w:ascii="宋体" w:hAnsi="宋体" w:eastAsia="宋体" w:cs="宋体"/>
          <w:color w:val="auto"/>
          <w:sz w:val="24"/>
          <w:szCs w:val="24"/>
          <w:highlight w:val="none"/>
        </w:rPr>
        <w:t>一览表。</w:t>
      </w:r>
    </w:p>
    <w:p w14:paraId="667673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eastAsia="zh-CN"/>
        </w:rPr>
        <w:t>2025</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09</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日至</w:t>
      </w:r>
      <w:r>
        <w:rPr>
          <w:rFonts w:hint="eastAsia" w:ascii="宋体" w:hAnsi="宋体" w:cs="宋体"/>
          <w:color w:val="auto"/>
          <w:sz w:val="24"/>
          <w:szCs w:val="24"/>
          <w:highlight w:val="none"/>
          <w:lang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rPr>
        <w:t>日，有意向的供应商应在厦门招投标网（http:// www.xmztb.com，下同）注册账号，登录后可免费在线浏览招标文件，完成缴费并下载招标文件后方具备投标资格。缴费仅支持在线扫码支付。</w:t>
      </w:r>
    </w:p>
    <w:p w14:paraId="3FA73D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1B5A22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6F72AC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C、请各投标人务必在招标文件购买截止时间前，在线扫码支付完成缴费并下载招标文件，否则不具备投标资格。</w:t>
      </w:r>
    </w:p>
    <w:p w14:paraId="3A1DAE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D、纸质招标文件(若需要)获取方式：领取地点在厦门市湖里区机场北路476号</w:t>
      </w:r>
      <w:r>
        <w:rPr>
          <w:rFonts w:hint="eastAsia" w:ascii="宋体" w:hAnsi="宋体" w:eastAsia="宋体" w:cs="宋体"/>
          <w:color w:val="auto"/>
          <w:sz w:val="24"/>
          <w:szCs w:val="24"/>
          <w:highlight w:val="none"/>
          <w:lang w:eastAsia="zh-CN"/>
        </w:rPr>
        <w:t>万翔招标</w:t>
      </w:r>
      <w:r>
        <w:rPr>
          <w:rFonts w:hint="eastAsia" w:ascii="宋体" w:hAnsi="宋体" w:eastAsia="宋体" w:cs="宋体"/>
          <w:color w:val="auto"/>
          <w:sz w:val="24"/>
          <w:szCs w:val="24"/>
          <w:highlight w:val="none"/>
        </w:rPr>
        <w:t>4楼售标室。纸质招标文件领取事宜联系电话：0592-2219823。</w:t>
      </w:r>
    </w:p>
    <w:p w14:paraId="7D74744E">
      <w:pPr>
        <w:pStyle w:val="5"/>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4、招标文件售价：每个合同包</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single"/>
          <w:lang w:val="en-US" w:eastAsia="zh-CN"/>
        </w:rPr>
        <w:t>0</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元人民币，售后不退。</w:t>
      </w:r>
    </w:p>
    <w:p w14:paraId="496093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5、投标截止时间、地点：投标文件应于</w:t>
      </w:r>
      <w:r>
        <w:rPr>
          <w:rFonts w:hint="eastAsia" w:ascii="宋体" w:hAnsi="宋体" w:cs="宋体"/>
          <w:color w:val="auto"/>
          <w:sz w:val="24"/>
          <w:szCs w:val="24"/>
          <w:highlight w:val="none"/>
          <w:lang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0（北京时间）之前提交到</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（C404）</w:t>
      </w:r>
      <w:r>
        <w:rPr>
          <w:rFonts w:hint="eastAsia" w:ascii="宋体" w:hAnsi="宋体" w:eastAsia="宋体" w:cs="宋体"/>
          <w:color w:val="auto"/>
          <w:sz w:val="24"/>
          <w:szCs w:val="24"/>
          <w:highlight w:val="none"/>
        </w:rPr>
        <w:t>。逾期收到的或不符合规定的投标文件将被拒绝。</w:t>
      </w:r>
      <w:r>
        <w:rPr>
          <w:rFonts w:hint="eastAsia" w:ascii="宋体" w:hAnsi="宋体" w:cs="宋体"/>
          <w:color w:val="auto"/>
          <w:sz w:val="24"/>
          <w:szCs w:val="24"/>
          <w:highlight w:val="none"/>
          <w:lang w:val="en-US" w:eastAsia="zh-CN"/>
        </w:rPr>
        <w:t>不接受邮寄投标文件</w:t>
      </w:r>
      <w:r>
        <w:rPr>
          <w:rFonts w:hint="eastAsia" w:ascii="宋体" w:hAnsi="宋体" w:cs="宋体"/>
          <w:b w:val="0"/>
          <w:bCs w:val="0"/>
          <w:color w:val="auto"/>
          <w:sz w:val="24"/>
          <w:szCs w:val="24"/>
          <w:highlight w:val="none"/>
          <w:u w:val="none"/>
        </w:rPr>
        <w:t>。</w:t>
      </w:r>
    </w:p>
    <w:p w14:paraId="1828BCA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6、开标时间、地点:</w:t>
      </w:r>
      <w:r>
        <w:rPr>
          <w:rFonts w:hint="eastAsia" w:ascii="宋体" w:hAnsi="宋体" w:cs="宋体"/>
          <w:color w:val="auto"/>
          <w:sz w:val="24"/>
          <w:szCs w:val="24"/>
          <w:highlight w:val="none"/>
          <w:lang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09</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（C404）</w:t>
      </w:r>
      <w:r>
        <w:rPr>
          <w:rFonts w:hint="eastAsia" w:ascii="宋体" w:hAnsi="宋体" w:eastAsia="宋体" w:cs="宋体"/>
          <w:color w:val="auto"/>
          <w:sz w:val="24"/>
          <w:szCs w:val="24"/>
          <w:highlight w:val="none"/>
        </w:rPr>
        <w:t>。</w:t>
      </w:r>
    </w:p>
    <w:p w14:paraId="762AC027">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7、本项目（不接受）联合体投标。</w:t>
      </w:r>
    </w:p>
    <w:p w14:paraId="17C3729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bCs/>
          <w:color w:val="auto"/>
          <w:sz w:val="24"/>
          <w:szCs w:val="24"/>
          <w:highlight w:val="none"/>
        </w:rPr>
        <w:t>将通过</w:t>
      </w:r>
      <w:r>
        <w:rPr>
          <w:rFonts w:hint="eastAsia" w:ascii="宋体" w:hAnsi="宋体" w:cs="宋体"/>
          <w:bCs/>
          <w:color w:val="auto"/>
          <w:sz w:val="24"/>
          <w:szCs w:val="24"/>
          <w:highlight w:val="none"/>
          <w:lang w:eastAsia="zh-CN"/>
        </w:rPr>
        <w:t>福建省政府采购网</w:t>
      </w:r>
      <w:r>
        <w:rPr>
          <w:rFonts w:hint="eastAsia" w:ascii="宋体" w:hAnsi="宋体" w:eastAsia="宋体" w:cs="宋体"/>
          <w:bCs/>
          <w:color w:val="auto"/>
          <w:sz w:val="24"/>
          <w:szCs w:val="24"/>
          <w:highlight w:val="none"/>
        </w:rPr>
        <w:t>、厦门招投标网（</w:t>
      </w:r>
      <w:r>
        <w:rPr>
          <w:rFonts w:hint="eastAsia" w:ascii="宋体" w:hAnsi="宋体" w:eastAsia="宋体" w:cs="宋体"/>
          <w:color w:val="auto"/>
          <w:sz w:val="24"/>
          <w:szCs w:val="24"/>
          <w:highlight w:val="none"/>
        </w:rPr>
        <w:t>www.xmztb.com</w:t>
      </w:r>
      <w:r>
        <w:rPr>
          <w:rFonts w:hint="eastAsia" w:ascii="宋体" w:hAnsi="宋体" w:eastAsia="宋体" w:cs="宋体"/>
          <w:bCs/>
          <w:color w:val="auto"/>
          <w:sz w:val="24"/>
          <w:szCs w:val="24"/>
          <w:highlight w:val="none"/>
        </w:rPr>
        <w:t>）等媒体发布通知信息，请投标人关注</w:t>
      </w:r>
      <w:r>
        <w:rPr>
          <w:rFonts w:hint="eastAsia" w:ascii="宋体" w:hAnsi="宋体" w:eastAsia="宋体" w:cs="宋体"/>
          <w:color w:val="auto"/>
          <w:sz w:val="24"/>
          <w:szCs w:val="24"/>
          <w:highlight w:val="none"/>
        </w:rPr>
        <w:t>。</w:t>
      </w:r>
    </w:p>
    <w:p w14:paraId="6B314080">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9、友情提醒：本项目仅限网上购买招标文件，投标人必须按招标文件要求递交纸质投标文件。 </w:t>
      </w:r>
    </w:p>
    <w:p w14:paraId="12589A4E">
      <w:pPr>
        <w:spacing w:line="360" w:lineRule="auto"/>
        <w:ind w:firstLine="240" w:firstLineChars="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10、投标人对本次招标活动事项提出疑问的，请在投标截止时间十五日之前，与招标代理机构联系。来函请加盖单位公章，并提供联系人、联</w:t>
      </w:r>
      <w:bookmarkStart w:id="4" w:name="_GoBack"/>
      <w:bookmarkEnd w:id="4"/>
      <w:r>
        <w:rPr>
          <w:rFonts w:hint="eastAsia" w:ascii="宋体" w:hAnsi="宋体" w:eastAsia="宋体" w:cs="宋体"/>
          <w:color w:val="auto"/>
          <w:sz w:val="24"/>
          <w:szCs w:val="24"/>
          <w:highlight w:val="none"/>
        </w:rPr>
        <w:t>系电话及传真号码。</w:t>
      </w:r>
    </w:p>
    <w:p w14:paraId="6E6CEDE8">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11、为方便开标唱标，投标人应将开标一览表原件和投标保证金缴交凭证单独密封，并在信封上标明“开标一览表”字样，然后再装入投标文件密封袋中密封。</w:t>
      </w:r>
    </w:p>
    <w:p w14:paraId="095F8F9D">
      <w:pPr>
        <w:tabs>
          <w:tab w:val="left" w:pos="1140"/>
        </w:tabs>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12、各有关联系方式</w:t>
      </w:r>
    </w:p>
    <w:tbl>
      <w:tblPr>
        <w:tblStyle w:val="12"/>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239"/>
        <w:gridCol w:w="3348"/>
        <w:gridCol w:w="2976"/>
      </w:tblGrid>
      <w:tr w14:paraId="165BE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79642934">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5E46865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239" w:type="dxa"/>
            <w:noWrap w:val="0"/>
            <w:vAlign w:val="center"/>
          </w:tcPr>
          <w:p w14:paraId="6523BC1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348" w:type="dxa"/>
            <w:noWrap w:val="0"/>
            <w:vAlign w:val="center"/>
          </w:tcPr>
          <w:p w14:paraId="26F3D6A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2976" w:type="dxa"/>
            <w:noWrap w:val="0"/>
            <w:vAlign w:val="center"/>
          </w:tcPr>
          <w:p w14:paraId="28C5EF0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670DE7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6B20C9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5E3986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239" w:type="dxa"/>
            <w:noWrap w:val="0"/>
            <w:vAlign w:val="center"/>
          </w:tcPr>
          <w:p w14:paraId="19AE9DA0">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徐先生、陈</w:t>
            </w:r>
            <w:r>
              <w:rPr>
                <w:rFonts w:hint="eastAsia" w:ascii="宋体" w:hAnsi="宋体" w:eastAsia="宋体" w:cs="宋体"/>
                <w:color w:val="auto"/>
                <w:kern w:val="0"/>
                <w:sz w:val="24"/>
                <w:szCs w:val="24"/>
                <w:highlight w:val="none"/>
              </w:rPr>
              <w:t>小姐</w:t>
            </w:r>
          </w:p>
        </w:tc>
        <w:tc>
          <w:tcPr>
            <w:tcW w:w="3348" w:type="dxa"/>
            <w:noWrap w:val="0"/>
            <w:vAlign w:val="center"/>
          </w:tcPr>
          <w:p w14:paraId="12556AE0">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2976" w:type="dxa"/>
            <w:noWrap w:val="0"/>
            <w:vAlign w:val="center"/>
          </w:tcPr>
          <w:p w14:paraId="251E3C87">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5730600、2298129</w:t>
            </w:r>
          </w:p>
          <w:p w14:paraId="7EF7C672">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749A74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5C92B6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7B252E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239" w:type="dxa"/>
            <w:noWrap w:val="0"/>
            <w:vAlign w:val="center"/>
          </w:tcPr>
          <w:p w14:paraId="7CFD4B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348" w:type="dxa"/>
            <w:noWrap w:val="0"/>
            <w:vAlign w:val="center"/>
          </w:tcPr>
          <w:p w14:paraId="32D0A03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2976" w:type="dxa"/>
            <w:noWrap w:val="0"/>
            <w:vAlign w:val="center"/>
          </w:tcPr>
          <w:p w14:paraId="7402401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49479F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430BE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426BE01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239" w:type="dxa"/>
            <w:noWrap w:val="0"/>
            <w:vAlign w:val="center"/>
          </w:tcPr>
          <w:p w14:paraId="5049E9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348" w:type="dxa"/>
            <w:noWrap w:val="0"/>
            <w:vAlign w:val="center"/>
          </w:tcPr>
          <w:p w14:paraId="796FCF6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2976" w:type="dxa"/>
            <w:noWrap w:val="0"/>
            <w:vAlign w:val="center"/>
          </w:tcPr>
          <w:p w14:paraId="6FAC5A13">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0299CD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7AACE08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4AA3849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239" w:type="dxa"/>
            <w:noWrap w:val="0"/>
            <w:vAlign w:val="center"/>
          </w:tcPr>
          <w:p w14:paraId="4E863F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348" w:type="dxa"/>
            <w:noWrap w:val="0"/>
            <w:vAlign w:val="center"/>
          </w:tcPr>
          <w:p w14:paraId="457AEC8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2976" w:type="dxa"/>
            <w:noWrap w:val="0"/>
            <w:vAlign w:val="center"/>
          </w:tcPr>
          <w:p w14:paraId="7F61C1EE">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200402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373397D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3F33BCC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239" w:type="dxa"/>
            <w:noWrap w:val="0"/>
            <w:vAlign w:val="center"/>
          </w:tcPr>
          <w:p w14:paraId="479238C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348" w:type="dxa"/>
            <w:noWrap w:val="0"/>
            <w:vAlign w:val="center"/>
          </w:tcPr>
          <w:p w14:paraId="1ED10E0A">
            <w:pPr>
              <w:keepNext w:val="0"/>
              <w:keepLines w:val="0"/>
              <w:suppressLineNumbers w:val="0"/>
              <w:spacing w:before="0" w:beforeAutospacing="0" w:after="0" w:afterAutospacing="0" w:line="360" w:lineRule="auto"/>
              <w:ind w:left="0" w:right="0"/>
              <w:rPr>
                <w:rFonts w:hint="default"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2976" w:type="dxa"/>
            <w:noWrap w:val="0"/>
            <w:vAlign w:val="center"/>
          </w:tcPr>
          <w:p w14:paraId="032E28DA">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412C5FDF">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5C3850C1">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3870201A">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59C73A46">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28F891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2B738C4C">
            <w:pPr>
              <w:keepNext w:val="0"/>
              <w:keepLines w:val="0"/>
              <w:suppressLineNumbers w:val="0"/>
              <w:spacing w:before="0" w:beforeAutospacing="0" w:after="0" w:afterAutospacing="0" w:line="360" w:lineRule="auto"/>
              <w:ind w:left="0" w:right="0"/>
              <w:jc w:val="center"/>
              <w:rPr>
                <w:rFonts w:hint="default"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60DD30ED">
            <w:pPr>
              <w:keepNext w:val="0"/>
              <w:keepLines w:val="0"/>
              <w:suppressLineNumbers w:val="0"/>
              <w:spacing w:before="0" w:beforeAutospacing="0" w:after="0" w:afterAutospacing="0" w:line="360" w:lineRule="auto"/>
              <w:ind w:left="0" w:right="0"/>
              <w:jc w:val="center"/>
              <w:rPr>
                <w:rFonts w:hint="default"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30F5B7AD">
            <w:pPr>
              <w:keepNext w:val="0"/>
              <w:keepLines w:val="0"/>
              <w:suppressLineNumbers w:val="0"/>
              <w:spacing w:before="0" w:beforeAutospacing="0" w:after="0" w:afterAutospacing="0" w:line="360" w:lineRule="auto"/>
              <w:ind w:left="0" w:right="0"/>
              <w:jc w:val="center"/>
              <w:rPr>
                <w:rFonts w:hint="default"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326FF9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461FAC2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25B189B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w:t>
            </w:r>
          </w:p>
        </w:tc>
        <w:tc>
          <w:tcPr>
            <w:tcW w:w="4602" w:type="dxa"/>
            <w:noWrap w:val="0"/>
            <w:vAlign w:val="center"/>
          </w:tcPr>
          <w:p w14:paraId="4F384DB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3DBD83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4846236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092E90F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w:t>
            </w:r>
          </w:p>
        </w:tc>
        <w:tc>
          <w:tcPr>
            <w:tcW w:w="4602" w:type="dxa"/>
            <w:noWrap w:val="0"/>
            <w:vAlign w:val="center"/>
          </w:tcPr>
          <w:p w14:paraId="293862D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7DD3BF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1AE642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7A1AB02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78704CE4">
      <w:pPr>
        <w:tabs>
          <w:tab w:val="left" w:pos="1140"/>
        </w:tabs>
        <w:spacing w:line="360" w:lineRule="auto"/>
        <w:ind w:firstLine="560"/>
        <w:rPr>
          <w:rFonts w:hint="eastAsia" w:ascii="宋体" w:hAnsi="宋体" w:eastAsia="宋体" w:cs="宋体"/>
          <w:color w:val="auto"/>
          <w:sz w:val="24"/>
          <w:szCs w:val="24"/>
          <w:highlight w:val="none"/>
        </w:rPr>
      </w:pPr>
    </w:p>
    <w:p w14:paraId="11E7BDC5">
      <w:pPr>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4CB55C89">
      <w:pPr>
        <w:numPr>
          <w:ilvl w:val="0"/>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14、注意事项：</w:t>
      </w:r>
    </w:p>
    <w:p w14:paraId="30A6BF94">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17C9D90F">
      <w:pPr>
        <w:spacing w:line="360" w:lineRule="auto"/>
        <w:ind w:firstLine="360"/>
        <w:rPr>
          <w:rFonts w:hint="eastAsia" w:ascii="宋体" w:hAnsi="宋体" w:eastAsia="宋体" w:cs="宋体"/>
          <w:color w:val="auto"/>
          <w:sz w:val="24"/>
          <w:szCs w:val="24"/>
          <w:highlight w:val="none"/>
        </w:rPr>
      </w:pPr>
    </w:p>
    <w:p w14:paraId="2AED851F">
      <w:pPr>
        <w:spacing w:line="360" w:lineRule="auto"/>
        <w:ind w:firstLine="360"/>
        <w:rPr>
          <w:rFonts w:hint="eastAsia" w:ascii="宋体" w:hAnsi="宋体" w:eastAsia="宋体" w:cs="宋体"/>
          <w:b/>
          <w:color w:val="auto"/>
          <w:sz w:val="24"/>
          <w:szCs w:val="24"/>
          <w:highlight w:val="none"/>
        </w:rPr>
      </w:pPr>
    </w:p>
    <w:p w14:paraId="2E4CCC45">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招标代理机构：厦门万翔招标有限公司</w:t>
      </w:r>
    </w:p>
    <w:p w14:paraId="21E16441">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4313EF67">
      <w:pPr>
        <w:tabs>
          <w:tab w:val="left" w:pos="2775"/>
        </w:tabs>
        <w:spacing w:line="360" w:lineRule="auto"/>
        <w:ind w:firstLine="4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6605F7C0">
      <w:pPr>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合同款项事宜联系人：</w:t>
      </w:r>
      <w:r>
        <w:rPr>
          <w:rFonts w:hint="eastAsia" w:ascii="宋体" w:hAnsi="宋体" w:cs="宋体"/>
          <w:color w:val="auto"/>
          <w:kern w:val="0"/>
          <w:sz w:val="24"/>
          <w:szCs w:val="24"/>
          <w:highlight w:val="none"/>
          <w:lang w:val="en-US" w:eastAsia="zh-CN"/>
        </w:rPr>
        <w:t>陈先生，</w:t>
      </w:r>
      <w:r>
        <w:rPr>
          <w:rFonts w:hint="eastAsia" w:ascii="宋体" w:hAnsi="宋体" w:cs="宋体"/>
          <w:color w:val="auto"/>
          <w:kern w:val="0"/>
          <w:sz w:val="24"/>
          <w:szCs w:val="24"/>
          <w:highlight w:val="none"/>
        </w:rPr>
        <w:t>0592-5706825</w:t>
      </w:r>
    </w:p>
    <w:p w14:paraId="572E4873">
      <w:pPr>
        <w:pStyle w:val="10"/>
        <w:rPr>
          <w:rFonts w:hint="eastAsia"/>
          <w:color w:val="auto"/>
          <w:highlight w:val="none"/>
        </w:rPr>
      </w:pPr>
    </w:p>
    <w:p w14:paraId="1382C5A9">
      <w:pPr>
        <w:pStyle w:val="10"/>
        <w:rPr>
          <w:rFonts w:hint="eastAsia"/>
          <w:color w:val="auto"/>
          <w:highlight w:val="none"/>
        </w:rPr>
      </w:pPr>
    </w:p>
    <w:p w14:paraId="37CDF701">
      <w:pPr>
        <w:tabs>
          <w:tab w:val="left" w:pos="2775"/>
        </w:tabs>
        <w:spacing w:line="360" w:lineRule="auto"/>
        <w:ind w:firstLine="465"/>
        <w:rPr>
          <w:rFonts w:hint="eastAsia" w:ascii="宋体" w:hAnsi="宋体" w:eastAsia="宋体" w:cs="宋体"/>
          <w:color w:val="auto"/>
          <w:sz w:val="24"/>
          <w:szCs w:val="24"/>
          <w:highlight w:val="none"/>
        </w:rPr>
      </w:pPr>
    </w:p>
    <w:p w14:paraId="5B60CE11">
      <w:pPr>
        <w:tabs>
          <w:tab w:val="left" w:pos="2775"/>
        </w:tabs>
        <w:spacing w:line="360" w:lineRule="auto"/>
        <w:ind w:firstLine="465"/>
        <w:rPr>
          <w:rFonts w:hint="eastAsia" w:ascii="宋体" w:hAnsi="宋体" w:eastAsia="宋体" w:cs="宋体"/>
          <w:color w:val="auto"/>
          <w:sz w:val="24"/>
          <w:szCs w:val="24"/>
          <w:highlight w:val="none"/>
        </w:rPr>
      </w:pPr>
    </w:p>
    <w:p w14:paraId="3D0260AF">
      <w:pPr>
        <w:tabs>
          <w:tab w:val="left" w:pos="2775"/>
        </w:tabs>
        <w:spacing w:line="360" w:lineRule="auto"/>
        <w:ind w:firstLine="465"/>
        <w:rPr>
          <w:rFonts w:hint="eastAsia" w:ascii="宋体" w:hAnsi="宋体" w:eastAsia="宋体" w:cs="宋体"/>
          <w:color w:val="auto"/>
          <w:sz w:val="24"/>
          <w:szCs w:val="24"/>
          <w:highlight w:val="none"/>
        </w:rPr>
      </w:pPr>
    </w:p>
    <w:p w14:paraId="3CCC77A3">
      <w:pPr>
        <w:tabs>
          <w:tab w:val="left" w:pos="2775"/>
        </w:tabs>
        <w:spacing w:line="360" w:lineRule="auto"/>
        <w:ind w:firstLine="465"/>
        <w:rPr>
          <w:rFonts w:hint="eastAsia" w:ascii="宋体" w:hAnsi="宋体" w:eastAsia="宋体" w:cs="宋体"/>
          <w:color w:val="auto"/>
          <w:sz w:val="24"/>
          <w:szCs w:val="24"/>
          <w:highlight w:val="none"/>
        </w:rPr>
      </w:pPr>
    </w:p>
    <w:p w14:paraId="2EF24130">
      <w:pPr>
        <w:tabs>
          <w:tab w:val="left" w:pos="2775"/>
        </w:tabs>
        <w:spacing w:line="360" w:lineRule="auto"/>
        <w:ind w:firstLine="465"/>
        <w:rPr>
          <w:rFonts w:hint="eastAsia" w:ascii="宋体" w:hAnsi="宋体" w:eastAsia="宋体" w:cs="宋体"/>
          <w:color w:val="auto"/>
          <w:sz w:val="24"/>
          <w:szCs w:val="24"/>
          <w:highlight w:val="none"/>
        </w:rPr>
      </w:pPr>
    </w:p>
    <w:p w14:paraId="3C109C80">
      <w:pPr>
        <w:tabs>
          <w:tab w:val="left" w:pos="2775"/>
        </w:tabs>
        <w:spacing w:line="360" w:lineRule="auto"/>
        <w:ind w:firstLine="465"/>
        <w:rPr>
          <w:rFonts w:hint="eastAsia" w:ascii="宋体" w:hAnsi="宋体" w:eastAsia="宋体" w:cs="宋体"/>
          <w:color w:val="auto"/>
          <w:sz w:val="24"/>
          <w:szCs w:val="24"/>
          <w:highlight w:val="none"/>
        </w:rPr>
      </w:pPr>
    </w:p>
    <w:p w14:paraId="70CAC113">
      <w:pPr>
        <w:tabs>
          <w:tab w:val="left" w:pos="2775"/>
        </w:tabs>
        <w:spacing w:line="360" w:lineRule="auto"/>
        <w:ind w:firstLine="465"/>
        <w:rPr>
          <w:rFonts w:hint="eastAsia" w:ascii="宋体" w:hAnsi="宋体" w:eastAsia="宋体" w:cs="宋体"/>
          <w:color w:val="auto"/>
          <w:sz w:val="24"/>
          <w:szCs w:val="24"/>
          <w:highlight w:val="none"/>
        </w:rPr>
      </w:pPr>
    </w:p>
    <w:p w14:paraId="67ED54BE">
      <w:pPr>
        <w:tabs>
          <w:tab w:val="left" w:pos="2775"/>
        </w:tabs>
        <w:spacing w:line="360" w:lineRule="auto"/>
        <w:ind w:firstLine="465"/>
        <w:rPr>
          <w:rFonts w:hint="eastAsia" w:ascii="宋体" w:hAnsi="宋体" w:eastAsia="宋体" w:cs="宋体"/>
          <w:color w:val="auto"/>
          <w:sz w:val="24"/>
          <w:szCs w:val="24"/>
          <w:highlight w:val="none"/>
        </w:rPr>
      </w:pPr>
    </w:p>
    <w:p w14:paraId="57FADED2">
      <w:pPr>
        <w:tabs>
          <w:tab w:val="left" w:pos="2775"/>
        </w:tabs>
        <w:spacing w:line="360" w:lineRule="auto"/>
        <w:ind w:firstLine="465"/>
        <w:rPr>
          <w:rFonts w:hint="eastAsia" w:ascii="宋体" w:hAnsi="宋体" w:eastAsia="宋体" w:cs="宋体"/>
          <w:color w:val="auto"/>
          <w:sz w:val="24"/>
          <w:szCs w:val="24"/>
          <w:highlight w:val="none"/>
        </w:rPr>
      </w:pPr>
    </w:p>
    <w:p w14:paraId="327FFC5C">
      <w:pPr>
        <w:tabs>
          <w:tab w:val="left" w:pos="2775"/>
        </w:tabs>
        <w:spacing w:line="360" w:lineRule="auto"/>
        <w:ind w:firstLine="465"/>
        <w:rPr>
          <w:rFonts w:hint="eastAsia" w:ascii="宋体" w:hAnsi="宋体" w:eastAsia="宋体" w:cs="宋体"/>
          <w:color w:val="auto"/>
          <w:sz w:val="24"/>
          <w:szCs w:val="24"/>
          <w:highlight w:val="none"/>
        </w:rPr>
      </w:pPr>
    </w:p>
    <w:p w14:paraId="0BD92B16">
      <w:pPr>
        <w:tabs>
          <w:tab w:val="left" w:pos="2775"/>
        </w:tabs>
        <w:spacing w:line="360" w:lineRule="auto"/>
        <w:ind w:firstLine="465"/>
        <w:rPr>
          <w:rFonts w:hint="eastAsia" w:ascii="宋体" w:hAnsi="宋体" w:eastAsia="宋体" w:cs="宋体"/>
          <w:color w:val="auto"/>
          <w:sz w:val="24"/>
          <w:szCs w:val="24"/>
          <w:highlight w:val="none"/>
        </w:rPr>
      </w:pPr>
    </w:p>
    <w:p w14:paraId="78FC67F4">
      <w:pPr>
        <w:spacing w:line="360" w:lineRule="auto"/>
        <w:rPr>
          <w:rFonts w:hint="eastAsia" w:ascii="宋体" w:hAnsi="宋体" w:eastAsia="宋体" w:cs="宋体"/>
          <w:color w:val="auto"/>
          <w:sz w:val="32"/>
          <w:szCs w:val="32"/>
          <w:highlight w:val="none"/>
        </w:rPr>
      </w:pPr>
    </w:p>
    <w:p w14:paraId="1ED9320D">
      <w:pPr>
        <w:spacing w:line="360" w:lineRule="auto"/>
        <w:rPr>
          <w:rFonts w:hint="eastAsia" w:ascii="宋体" w:hAnsi="宋体" w:eastAsia="宋体" w:cs="宋体"/>
          <w:color w:val="auto"/>
          <w:sz w:val="32"/>
          <w:szCs w:val="32"/>
          <w:highlight w:val="none"/>
        </w:rPr>
      </w:pPr>
    </w:p>
    <w:p w14:paraId="55E2A930">
      <w:pPr>
        <w:spacing w:line="360" w:lineRule="auto"/>
        <w:rPr>
          <w:rFonts w:hint="eastAsia" w:ascii="宋体" w:hAnsi="宋体" w:eastAsia="宋体" w:cs="宋体"/>
          <w:color w:val="auto"/>
          <w:sz w:val="32"/>
          <w:szCs w:val="32"/>
          <w:highlight w:val="none"/>
        </w:rPr>
      </w:pPr>
    </w:p>
    <w:p w14:paraId="6F80EDE5">
      <w:pPr>
        <w:spacing w:line="360" w:lineRule="auto"/>
        <w:rPr>
          <w:rFonts w:hint="eastAsia" w:ascii="宋体" w:hAnsi="宋体" w:eastAsia="宋体" w:cs="宋体"/>
          <w:color w:val="auto"/>
          <w:sz w:val="32"/>
          <w:szCs w:val="32"/>
          <w:highlight w:val="none"/>
        </w:rPr>
      </w:pPr>
    </w:p>
    <w:p w14:paraId="61AA0A3D">
      <w:pPr>
        <w:spacing w:line="360" w:lineRule="auto"/>
        <w:rPr>
          <w:rFonts w:hint="eastAsia" w:ascii="宋体" w:hAnsi="宋体" w:eastAsia="宋体" w:cs="宋体"/>
          <w:color w:val="auto"/>
          <w:sz w:val="32"/>
          <w:szCs w:val="32"/>
          <w:highlight w:val="none"/>
        </w:rPr>
      </w:pPr>
    </w:p>
    <w:p w14:paraId="0597DC39">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75F13A7F">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2"/>
        <w:tblW w:w="9918" w:type="dxa"/>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2432"/>
      </w:tblGrid>
      <w:tr w14:paraId="4652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0C309245">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A883120">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0774AB9A">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3729E33">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0580428">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85C10C9">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2432" w:type="dxa"/>
            <w:tcBorders>
              <w:top w:val="single" w:color="auto" w:sz="4" w:space="0"/>
              <w:left w:val="single" w:color="auto" w:sz="4" w:space="0"/>
              <w:bottom w:val="single" w:color="auto" w:sz="4" w:space="0"/>
              <w:right w:val="single" w:color="auto" w:sz="4" w:space="0"/>
            </w:tcBorders>
            <w:noWrap w:val="0"/>
            <w:vAlign w:val="center"/>
          </w:tcPr>
          <w:p w14:paraId="4D6FA9FC">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5BE0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14:paraId="22EDB05F">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XM2025-DZ0041C1</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07055AD8">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6EC9095E">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图书馆家具</w:t>
            </w:r>
            <w:r>
              <w:rPr>
                <w:rFonts w:hint="eastAsia" w:ascii="宋体" w:hAnsi="宋体" w:eastAsia="宋体" w:cs="宋体"/>
                <w:b w:val="0"/>
                <w:bCs w:val="0"/>
                <w:color w:val="auto"/>
                <w:sz w:val="24"/>
                <w:szCs w:val="24"/>
                <w:highlight w:val="none"/>
                <w:lang w:val="en-US" w:eastAsia="zh-CN"/>
              </w:rPr>
              <w:t>采购</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0E028D1">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4CF5A4E3">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CE6804B">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2432" w:type="dxa"/>
            <w:tcBorders>
              <w:top w:val="single" w:color="auto" w:sz="4" w:space="0"/>
              <w:left w:val="single" w:color="auto" w:sz="4" w:space="0"/>
              <w:bottom w:val="single" w:color="auto" w:sz="4" w:space="0"/>
              <w:right w:val="single" w:color="auto" w:sz="4" w:space="0"/>
            </w:tcBorders>
            <w:noWrap w:val="0"/>
            <w:vAlign w:val="center"/>
          </w:tcPr>
          <w:p w14:paraId="7E8E93E7">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厦门市大同中学</w:t>
            </w:r>
          </w:p>
        </w:tc>
      </w:tr>
    </w:tbl>
    <w:p w14:paraId="02DF0DD9">
      <w:pPr>
        <w:pStyle w:val="5"/>
        <w:tabs>
          <w:tab w:val="left" w:pos="8360"/>
        </w:tabs>
        <w:spacing w:line="360" w:lineRule="auto"/>
        <w:jc w:val="left"/>
        <w:rPr>
          <w:rFonts w:hint="eastAsia" w:hAnsi="宋体" w:eastAsia="宋体" w:cs="宋体"/>
          <w:color w:val="auto"/>
          <w:sz w:val="24"/>
          <w:szCs w:val="24"/>
          <w:highlight w:val="none"/>
        </w:rPr>
      </w:pPr>
    </w:p>
    <w:p w14:paraId="481AB363">
      <w:pPr>
        <w:pStyle w:val="5"/>
        <w:tabs>
          <w:tab w:val="left" w:pos="8360"/>
        </w:tabs>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注：投标人可按合同包投标，对同一合同包内所有品目号内容投标时必须完整。评标与授标以合同包为单位。</w:t>
      </w:r>
    </w:p>
    <w:p w14:paraId="6E9AF512">
      <w:pPr>
        <w:pStyle w:val="5"/>
        <w:tabs>
          <w:tab w:val="left" w:pos="8360"/>
        </w:tabs>
        <w:spacing w:line="360" w:lineRule="auto"/>
        <w:jc w:val="left"/>
        <w:rPr>
          <w:rFonts w:hint="eastAsia" w:hAnsi="宋体" w:eastAsia="宋体" w:cs="宋体"/>
          <w:color w:val="auto"/>
          <w:sz w:val="24"/>
          <w:szCs w:val="24"/>
          <w:highlight w:val="none"/>
        </w:rPr>
      </w:pPr>
    </w:p>
    <w:p w14:paraId="280A078B">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30342666">
      <w:pPr>
        <w:pStyle w:val="17"/>
        <w:spacing w:line="360" w:lineRule="auto"/>
        <w:jc w:val="center"/>
        <w:rPr>
          <w:rFonts w:hint="eastAsia" w:hAnsi="宋体" w:eastAsia="宋体" w:cs="宋体"/>
          <w:b/>
          <w:color w:val="auto"/>
          <w:sz w:val="32"/>
          <w:szCs w:val="32"/>
          <w:highlight w:val="none"/>
        </w:rPr>
      </w:pPr>
      <w:r>
        <w:rPr>
          <w:rFonts w:hint="eastAsia" w:hAnsi="宋体" w:eastAsia="宋体" w:cs="宋体"/>
          <w:b/>
          <w:color w:val="auto"/>
          <w:sz w:val="32"/>
          <w:szCs w:val="32"/>
          <w:highlight w:val="none"/>
        </w:rPr>
        <w:t>第二章  投标人须知</w:t>
      </w:r>
    </w:p>
    <w:p w14:paraId="186484D1">
      <w:pPr>
        <w:pStyle w:val="17"/>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投标人须知前附表1</w:t>
      </w:r>
    </w:p>
    <w:p w14:paraId="42FCEC86">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4F447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6C238D7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4F77F02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3A21DDC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5642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2B760C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0EE0010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7BF48BA6">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val="en-US" w:eastAsia="zh-CN"/>
              </w:rPr>
              <w:t>家具采购及安装</w:t>
            </w:r>
          </w:p>
          <w:p w14:paraId="1613064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1F2DF60F">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cs="宋体"/>
                <w:color w:val="auto"/>
                <w:sz w:val="24"/>
                <w:szCs w:val="24"/>
                <w:highlight w:val="none"/>
              </w:rPr>
              <w:t>采购单位地址：厦门市湖里区机场北路476号五楼</w:t>
            </w:r>
          </w:p>
          <w:p w14:paraId="5D899E38">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项目内容： </w:t>
            </w:r>
            <w:r>
              <w:rPr>
                <w:rFonts w:hint="eastAsia" w:ascii="宋体" w:hAnsi="宋体" w:cs="宋体"/>
                <w:color w:val="auto"/>
                <w:sz w:val="24"/>
                <w:szCs w:val="24"/>
                <w:highlight w:val="none"/>
                <w:lang w:val="en-US" w:eastAsia="zh-CN"/>
              </w:rPr>
              <w:t>家具</w:t>
            </w:r>
          </w:p>
          <w:p w14:paraId="3BE5CCA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u w:val="single"/>
                <w:lang w:eastAsia="zh-CN"/>
              </w:rPr>
              <w:t>XM2025-DZ0041C1</w:t>
            </w:r>
          </w:p>
        </w:tc>
      </w:tr>
      <w:tr w14:paraId="26C8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73ED69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52F4DD4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057E58A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1953770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729C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AD6D1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2D7AB2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6172A9F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5EF4DF0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29300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EB191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2BBF46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noWrap w:val="0"/>
            <w:vAlign w:val="center"/>
          </w:tcPr>
          <w:p w14:paraId="689F19D9">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b/>
                <w:color w:val="auto"/>
                <w:sz w:val="24"/>
                <w:szCs w:val="24"/>
                <w:highlight w:val="none"/>
                <w:u w:val="single"/>
              </w:rPr>
            </w:pPr>
            <w:r>
              <w:rPr>
                <w:rFonts w:hint="eastAsia" w:ascii="宋体" w:hAnsi="宋体" w:eastAsia="宋体" w:cs="宋体"/>
                <w:color w:val="auto"/>
                <w:kern w:val="0"/>
                <w:sz w:val="24"/>
                <w:szCs w:val="24"/>
                <w:highlight w:val="none"/>
              </w:rPr>
              <w:t>投标文件递交地址：</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C区</w:t>
            </w:r>
            <w:r>
              <w:rPr>
                <w:rFonts w:hint="eastAsia" w:ascii="宋体" w:hAnsi="宋体" w:cs="宋体"/>
                <w:b/>
                <w:color w:val="auto"/>
                <w:sz w:val="24"/>
                <w:szCs w:val="24"/>
                <w:highlight w:val="none"/>
                <w:u w:val="single"/>
              </w:rPr>
              <w:t>开标室</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（C404）</w:t>
            </w:r>
          </w:p>
          <w:p w14:paraId="6E353C9E">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接收人：</w:t>
            </w:r>
            <w:r>
              <w:rPr>
                <w:rFonts w:hint="eastAsia" w:ascii="宋体" w:hAnsi="宋体" w:cs="宋体"/>
                <w:color w:val="auto"/>
                <w:kern w:val="0"/>
                <w:sz w:val="24"/>
                <w:szCs w:val="24"/>
                <w:highlight w:val="none"/>
                <w:lang w:val="en-US" w:eastAsia="zh-CN"/>
              </w:rPr>
              <w:t>徐先生、陈小姐</w:t>
            </w:r>
          </w:p>
        </w:tc>
      </w:tr>
      <w:tr w14:paraId="1329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32F352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72B273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3C85980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每个合同包</w:t>
            </w: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03F5313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61104C5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5C8D5FC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1FEDDDD8">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2EB9E491">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2ED73B2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613A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9FAA8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2557A6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7380" w:type="dxa"/>
            <w:noWrap w:val="0"/>
            <w:vAlign w:val="center"/>
          </w:tcPr>
          <w:p w14:paraId="2A8769C6">
            <w:pPr>
              <w:keepNext w:val="0"/>
              <w:keepLines w:val="0"/>
              <w:widowControl/>
              <w:numPr>
                <w:ilvl w:val="0"/>
                <w:numId w:val="0"/>
              </w:numPr>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投标文件份数：正本一份、副本四份</w:t>
            </w:r>
            <w:r>
              <w:rPr>
                <w:rFonts w:hint="eastAsia" w:ascii="宋体" w:hAnsi="宋体" w:eastAsia="宋体" w:cs="宋体"/>
                <w:b w:val="0"/>
                <w:color w:val="auto"/>
                <w:sz w:val="24"/>
                <w:szCs w:val="24"/>
                <w:highlight w:val="none"/>
                <w:u w:val="none"/>
                <w:lang w:val="en-US" w:eastAsia="zh-CN"/>
              </w:rPr>
              <w:t>。投标人</w:t>
            </w:r>
            <w:r>
              <w:rPr>
                <w:rFonts w:hint="eastAsia" w:ascii="宋体" w:hAnsi="宋体" w:eastAsia="宋体" w:cs="宋体"/>
                <w:b w:val="0"/>
                <w:bCs w:val="0"/>
                <w:color w:val="auto"/>
                <w:sz w:val="24"/>
                <w:szCs w:val="24"/>
                <w:highlight w:val="none"/>
                <w:lang w:val="en-US" w:eastAsia="zh-CN"/>
              </w:rPr>
              <w:t>须提供最终盖章签字投标文件扫描件刻录u盘（或光盘）2份。</w:t>
            </w:r>
          </w:p>
        </w:tc>
      </w:tr>
      <w:tr w14:paraId="57DB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5B55BE99">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080" w:type="dxa"/>
            <w:noWrap w:val="0"/>
            <w:vAlign w:val="center"/>
          </w:tcPr>
          <w:p w14:paraId="0B76EC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66E7EC1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56B2F2DD">
            <w:pPr>
              <w:pStyle w:val="5"/>
              <w:keepNext w:val="0"/>
              <w:keepLines w:val="0"/>
              <w:suppressLineNumbers w:val="0"/>
              <w:spacing w:before="0" w:beforeAutospacing="0" w:after="0" w:afterAutospacing="0" w:line="360" w:lineRule="auto"/>
              <w:ind w:left="0" w:right="0"/>
              <w:rPr>
                <w:rFonts w:hint="eastAsia" w:hAnsi="宋体" w:eastAsia="宋体" w:cs="宋体"/>
                <w:color w:val="auto"/>
                <w:sz w:val="24"/>
                <w:szCs w:val="24"/>
                <w:highlight w:val="none"/>
              </w:rPr>
            </w:pPr>
            <w:r>
              <w:rPr>
                <w:rFonts w:hint="eastAsia" w:hAnsi="宋体" w:eastAsia="宋体" w:cs="宋体"/>
                <w:color w:val="auto"/>
                <w:sz w:val="24"/>
                <w:szCs w:val="24"/>
                <w:highlight w:val="none"/>
              </w:rPr>
              <w:t>详见《投标人须知前附表3》。</w:t>
            </w:r>
          </w:p>
        </w:tc>
      </w:tr>
      <w:tr w14:paraId="167E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341A59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080" w:type="dxa"/>
            <w:noWrap w:val="0"/>
            <w:vAlign w:val="center"/>
          </w:tcPr>
          <w:p w14:paraId="0C38E947">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44899E3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431C89AF">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5142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7CABBD3">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068F475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6FB7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C35604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3F200AD9">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41687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1D51D92E">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0D69327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1F89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5D751D8">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799F587C">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0E27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99C460D">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6EAD016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3D45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ED3AE3E">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1E7369C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1E55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C73D806">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53C4C20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5389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3DF121ED">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30BBA6DE">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1D63FF2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49FC054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1CE6150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250B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B0BCF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DD225B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61EE2FE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w:t>
            </w:r>
            <w:r>
              <w:rPr>
                <w:rFonts w:hint="eastAsia" w:ascii="宋体" w:hAnsi="宋体" w:cs="宋体"/>
                <w:color w:val="auto"/>
                <w:sz w:val="24"/>
                <w:szCs w:val="24"/>
                <w:highlight w:val="none"/>
                <w:lang w:eastAsia="zh-CN"/>
              </w:rPr>
              <w:t>厦门市思明区财政局</w:t>
            </w:r>
            <w:r>
              <w:rPr>
                <w:rFonts w:hint="eastAsia" w:ascii="宋体" w:hAnsi="宋体" w:eastAsia="宋体" w:cs="宋体"/>
                <w:color w:val="auto"/>
                <w:sz w:val="24"/>
                <w:szCs w:val="24"/>
                <w:highlight w:val="none"/>
              </w:rPr>
              <w:t>。</w:t>
            </w:r>
          </w:p>
        </w:tc>
      </w:tr>
      <w:tr w14:paraId="24882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E0974F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A9E0CB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310EB22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bl>
    <w:p w14:paraId="01F9E7C9">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5A38E80A">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3439E626">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1601F217">
      <w:pPr>
        <w:spacing w:line="360" w:lineRule="auto"/>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投标人须知前附表2:资格性、符合性检查表</w:t>
      </w:r>
    </w:p>
    <w:p w14:paraId="0BDDA7CE">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3EBF0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noWrap w:val="0"/>
            <w:vAlign w:val="top"/>
          </w:tcPr>
          <w:p w14:paraId="037615E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3CFF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0772ED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26F403B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696" w:type="dxa"/>
            <w:tcBorders>
              <w:bottom w:val="single" w:color="auto" w:sz="4" w:space="0"/>
            </w:tcBorders>
            <w:noWrap w:val="0"/>
            <w:vAlign w:val="center"/>
          </w:tcPr>
          <w:p w14:paraId="657AD903">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1422" w:type="dxa"/>
            <w:tcBorders>
              <w:bottom w:val="single" w:color="auto" w:sz="4" w:space="0"/>
            </w:tcBorders>
            <w:noWrap w:val="0"/>
            <w:vAlign w:val="center"/>
          </w:tcPr>
          <w:p w14:paraId="7C57F9C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5925" w:type="dxa"/>
            <w:tcBorders>
              <w:bottom w:val="single" w:color="auto" w:sz="4" w:space="0"/>
            </w:tcBorders>
            <w:noWrap w:val="0"/>
            <w:vAlign w:val="center"/>
          </w:tcPr>
          <w:p w14:paraId="3ECEC4E5">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7FDE3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52257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349084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56B2D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AA5982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098A32F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540C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4B521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4879C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3F1D9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92256A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4B50509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0F328404">
            <w:pPr>
              <w:keepNext w:val="0"/>
              <w:keepLines w:val="0"/>
              <w:suppressLineNumbers w:val="0"/>
              <w:spacing w:before="0" w:beforeAutospacing="0" w:after="0" w:afterAutospacing="0" w:line="360" w:lineRule="auto"/>
              <w:ind w:left="0" w:right="0" w:firstLine="241" w:firstLineChars="100"/>
              <w:rPr>
                <w:rFonts w:hint="eastAsia" w:ascii="宋体" w:hAnsi="宋体" w:cs="宋体"/>
                <w:b/>
                <w:color w:val="auto"/>
                <w:sz w:val="24"/>
                <w:szCs w:val="24"/>
                <w:highlight w:val="none"/>
              </w:rPr>
            </w:pPr>
            <w:r>
              <w:rPr>
                <w:rFonts w:hint="eastAsia" w:ascii="宋体" w:hAnsi="宋体" w:cs="宋体"/>
                <w:b/>
                <w:color w:val="auto"/>
                <w:sz w:val="24"/>
                <w:szCs w:val="24"/>
                <w:highlight w:val="none"/>
              </w:rPr>
              <w:t>（1）</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人提供营业执照（副本）复印件（加盖公章）的复印件，提供组织机构代码证复印件。</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人已提供加载有统一社会信用代码营业执照的，视为已提供税务登记证和组织机构代码证。</w:t>
            </w:r>
          </w:p>
          <w:p w14:paraId="11254D1E">
            <w:pPr>
              <w:keepNext w:val="0"/>
              <w:keepLines w:val="0"/>
              <w:suppressLineNumbers w:val="0"/>
              <w:spacing w:before="0" w:beforeAutospacing="0" w:after="0" w:afterAutospacing="0" w:line="360" w:lineRule="auto"/>
              <w:ind w:left="0" w:right="0" w:firstLine="241" w:firstLineChars="1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（2）</w:t>
            </w:r>
            <w:r>
              <w:rPr>
                <w:rFonts w:hint="eastAsia" w:ascii="宋体" w:hAnsi="宋体" w:cs="宋体"/>
                <w:b/>
                <w:color w:val="auto"/>
                <w:sz w:val="24"/>
                <w:szCs w:val="24"/>
                <w:highlight w:val="none"/>
                <w:lang w:val="en-US" w:eastAsia="zh-CN"/>
              </w:rPr>
              <w:t>投标</w:t>
            </w:r>
            <w:r>
              <w:rPr>
                <w:rFonts w:hint="eastAsia" w:ascii="宋体" w:hAnsi="宋体" w:cs="宋体"/>
                <w:b/>
                <w:color w:val="auto"/>
                <w:sz w:val="24"/>
                <w:szCs w:val="24"/>
                <w:highlight w:val="none"/>
              </w:rPr>
              <w:t>人全权代表若不是单位负责人，应提供</w:t>
            </w:r>
            <w:r>
              <w:rPr>
                <w:rFonts w:hint="eastAsia" w:ascii="宋体" w:hAnsi="宋体" w:cs="宋体"/>
                <w:b/>
                <w:color w:val="auto"/>
                <w:sz w:val="24"/>
                <w:szCs w:val="24"/>
                <w:highlight w:val="none"/>
                <w:lang w:val="en-US" w:eastAsia="zh-CN"/>
              </w:rPr>
              <w:t>投标单位</w:t>
            </w:r>
            <w:r>
              <w:rPr>
                <w:rFonts w:hint="eastAsia" w:ascii="宋体" w:hAnsi="宋体" w:cs="宋体"/>
                <w:b/>
                <w:color w:val="auto"/>
                <w:sz w:val="24"/>
                <w:szCs w:val="24"/>
                <w:highlight w:val="none"/>
              </w:rPr>
              <w:t>授权书原件，并提供被授权代表身份证复印件。</w:t>
            </w:r>
          </w:p>
          <w:p w14:paraId="1F9BFE86">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rPr>
              <w:t>（3）按要求提供福建省</w:t>
            </w:r>
            <w:r>
              <w:rPr>
                <w:rFonts w:hint="eastAsia" w:ascii="宋体" w:hAnsi="宋体" w:eastAsia="宋体" w:cs="宋体"/>
                <w:b/>
                <w:bCs/>
                <w:color w:val="auto"/>
                <w:sz w:val="24"/>
                <w:szCs w:val="24"/>
                <w:highlight w:val="none"/>
              </w:rPr>
              <w:t>政府采购供应商资格承诺函</w:t>
            </w:r>
            <w:r>
              <w:rPr>
                <w:rFonts w:hint="eastAsia" w:ascii="宋体" w:hAnsi="宋体" w:eastAsia="宋体" w:cs="宋体"/>
                <w:b/>
                <w:bCs/>
                <w:color w:val="auto"/>
                <w:sz w:val="24"/>
                <w:szCs w:val="24"/>
                <w:highlight w:val="none"/>
                <w:lang w:eastAsia="zh-CN"/>
              </w:rPr>
              <w:t>。</w:t>
            </w:r>
          </w:p>
        </w:tc>
      </w:tr>
      <w:tr w14:paraId="4078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84D89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15481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8D52ED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81FF4B6">
            <w:pPr>
              <w:keepNext w:val="0"/>
              <w:keepLines w:val="0"/>
              <w:suppressLineNumbers w:val="0"/>
              <w:spacing w:before="0" w:beforeAutospacing="0" w:after="0" w:afterAutospacing="0" w:line="360" w:lineRule="auto"/>
              <w:ind w:left="0" w:right="0" w:firstLine="361" w:firstLineChars="150"/>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3.5</w:t>
            </w:r>
            <w:r>
              <w:rPr>
                <w:rFonts w:hint="eastAsia" w:ascii="宋体" w:hAnsi="宋体" w:cs="宋体"/>
                <w:b/>
                <w:bCs/>
                <w:color w:val="auto"/>
                <w:sz w:val="24"/>
                <w:szCs w:val="24"/>
                <w:highlight w:val="none"/>
                <w:lang w:val="en-US" w:eastAsia="zh-CN"/>
              </w:rPr>
              <w:t>本项目不接受联合体投标，否则做无效投标处理。</w:t>
            </w:r>
          </w:p>
        </w:tc>
      </w:tr>
      <w:tr w14:paraId="05FF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89498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5885C0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EFCFF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7EB4BE1">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tc>
      </w:tr>
      <w:tr w14:paraId="3020F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FED558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66A623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591527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613306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7CD5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668D1C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D5CAA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EB7B8F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72425E6">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查询结果存在投标人（包括联合体各方，联合体成员存在不良记录的，视同联合体存在不良信用记录，认定联合体资格审查不合格）应被拒绝参与政府采购活动相关信息的，其资格审查不合格。</w:t>
            </w:r>
          </w:p>
        </w:tc>
      </w:tr>
      <w:tr w14:paraId="3139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9F735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7E642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noWrap w:val="0"/>
            <w:vAlign w:val="center"/>
          </w:tcPr>
          <w:p w14:paraId="19D75FD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0F34EAF">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eastAsia="zh-CN" w:bidi="ar"/>
              </w:rPr>
              <w:t>本项目专门面向中小企业采购，不再执行价格评审优惠的扶持政策，并提供中小企业声明函，所报所有采购标的均为中小微企业制造。本项目对应的中小企业划分标准所属工业行业。</w:t>
            </w:r>
          </w:p>
        </w:tc>
      </w:tr>
      <w:tr w14:paraId="1AD9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noWrap w:val="0"/>
            <w:vAlign w:val="top"/>
          </w:tcPr>
          <w:p w14:paraId="160ADA6F">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符合性要求</w:t>
            </w:r>
          </w:p>
        </w:tc>
      </w:tr>
      <w:tr w14:paraId="2B4E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968A5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9AE6E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F1DA8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9C045C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005D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C7A83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D1001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F63F2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02D3B64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40D9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C94F8D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3854EA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29610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6599452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6FE3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4621408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852B6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34D00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D57AFE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410A05B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09D9664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99BFD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285EF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634CE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7B2304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14BA2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55EF4C2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21CA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F988E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96487B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6B162F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759BE9B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7B9B083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13A198D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00FDC37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23F5389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19352FB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3BEAD66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8DF90A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467ECDE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2776FD6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4E0E23E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45ED4F6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1BCF62A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6B99AF1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12A9890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11A923C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4137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D5DBEC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BF0A1E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318C4A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1F5D91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tc>
      </w:tr>
      <w:tr w14:paraId="7D0D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7A8C30D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7E3FF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EAF8F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5BC05B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tc>
      </w:tr>
      <w:tr w14:paraId="14F4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28A168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F604D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45D66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9E21BA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tc>
      </w:tr>
      <w:tr w14:paraId="3C7E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12E9FC3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0ACF76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94884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C63C28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tc>
      </w:tr>
      <w:tr w14:paraId="29607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88265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110741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E98C3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13.7</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041D043A">
            <w:pPr>
              <w:keepNext w:val="0"/>
              <w:keepLines w:val="0"/>
              <w:suppressLineNumbers w:val="0"/>
              <w:spacing w:before="0" w:beforeAutospacing="0" w:after="0" w:afterAutospacing="0" w:line="360" w:lineRule="auto"/>
              <w:ind w:left="0" w:right="0"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tc>
      </w:tr>
      <w:tr w14:paraId="29C6D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FE104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2A80FF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63F36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13.9</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1657C521">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投标人应将上述文件按顺序装订成册、打印页码，并编列投标文件目录、资料清单，由于装订不规范或编排顺序混乱而导致投标文件被误读或漏读，该投标可能被视为无效投标或承担不利的评标结果。</w:t>
            </w:r>
          </w:p>
        </w:tc>
      </w:tr>
      <w:tr w14:paraId="66CA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53DD4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85F7C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DF737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14974A5">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b/>
                <w:color w:val="auto"/>
                <w:sz w:val="24"/>
                <w:szCs w:val="24"/>
                <w:highlight w:val="none"/>
              </w:rPr>
              <w:t>投标文件未密封将导致其投标被拒绝。</w:t>
            </w:r>
          </w:p>
        </w:tc>
      </w:tr>
      <w:tr w14:paraId="20BD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0CFABB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C49161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18F8A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14.5</w:t>
            </w:r>
          </w:p>
        </w:tc>
        <w:tc>
          <w:tcPr>
            <w:tcW w:w="5925" w:type="dxa"/>
            <w:tcBorders>
              <w:top w:val="single" w:color="auto" w:sz="4" w:space="0"/>
              <w:left w:val="single" w:color="auto" w:sz="4" w:space="0"/>
              <w:bottom w:val="single" w:color="auto" w:sz="4" w:space="0"/>
              <w:right w:val="single" w:color="auto" w:sz="4" w:space="0"/>
            </w:tcBorders>
            <w:noWrap w:val="0"/>
            <w:vAlign w:val="center"/>
          </w:tcPr>
          <w:p w14:paraId="4BB89D2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14.5投标文件应在投标邀请中规定的截止时间前送达，迟到的投标文件为无效投标文件, 将被拒收。</w:t>
            </w:r>
          </w:p>
        </w:tc>
      </w:tr>
      <w:tr w14:paraId="2BB5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515CDB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C133D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41E45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14.7</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16370A1E">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tc>
      </w:tr>
      <w:tr w14:paraId="7203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809273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4B755B7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49AE1A8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6302B960">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1EC1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650D82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339731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05A110A4">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293A175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5FCC4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72DE4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6F80DC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20D55F7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7778F55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70A014A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50CD746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56C3A8F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6EBD74C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4B9DE12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4FECDFA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71D6E42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79CEAB2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44CB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noWrap w:val="0"/>
            <w:vAlign w:val="center"/>
          </w:tcPr>
          <w:p w14:paraId="31A93F8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noWrap w:val="0"/>
            <w:vAlign w:val="center"/>
          </w:tcPr>
          <w:p w14:paraId="1EE880A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noWrap w:val="0"/>
            <w:vAlign w:val="center"/>
          </w:tcPr>
          <w:p w14:paraId="74FF219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noWrap w:val="0"/>
            <w:vAlign w:val="top"/>
          </w:tcPr>
          <w:p w14:paraId="4B5CCFB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3772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noWrap w:val="0"/>
            <w:vAlign w:val="center"/>
          </w:tcPr>
          <w:p w14:paraId="1D3624C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96" w:type="dxa"/>
            <w:tcBorders>
              <w:top w:val="single" w:color="auto" w:sz="4" w:space="0"/>
            </w:tcBorders>
            <w:noWrap w:val="0"/>
            <w:vAlign w:val="center"/>
          </w:tcPr>
          <w:p w14:paraId="027ACE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tcBorders>
              <w:top w:val="single" w:color="auto" w:sz="4" w:space="0"/>
            </w:tcBorders>
            <w:noWrap w:val="0"/>
            <w:vAlign w:val="center"/>
          </w:tcPr>
          <w:p w14:paraId="54D04A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5925" w:type="dxa"/>
            <w:tcBorders>
              <w:top w:val="single" w:color="auto" w:sz="4" w:space="0"/>
            </w:tcBorders>
            <w:noWrap w:val="0"/>
            <w:vAlign w:val="center"/>
          </w:tcPr>
          <w:p w14:paraId="4E7D8E9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02F1574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7DA496B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74EA013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73C9547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0A12FAA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4F31D2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5187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C8788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696" w:type="dxa"/>
            <w:noWrap w:val="0"/>
            <w:vAlign w:val="center"/>
          </w:tcPr>
          <w:p w14:paraId="475293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3DF294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17.3.5</w:t>
            </w:r>
          </w:p>
        </w:tc>
        <w:tc>
          <w:tcPr>
            <w:tcW w:w="5925" w:type="dxa"/>
            <w:noWrap w:val="0"/>
            <w:vAlign w:val="center"/>
          </w:tcPr>
          <w:p w14:paraId="4705713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58E2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3AD43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96" w:type="dxa"/>
            <w:noWrap w:val="0"/>
            <w:vAlign w:val="center"/>
          </w:tcPr>
          <w:p w14:paraId="05C441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1422" w:type="dxa"/>
            <w:noWrap w:val="0"/>
            <w:vAlign w:val="center"/>
          </w:tcPr>
          <w:p w14:paraId="47D37A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5925" w:type="dxa"/>
            <w:noWrap w:val="0"/>
            <w:vAlign w:val="center"/>
          </w:tcPr>
          <w:p w14:paraId="301B4D7A">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76E78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7FDCC0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22</w:t>
            </w:r>
          </w:p>
        </w:tc>
        <w:tc>
          <w:tcPr>
            <w:tcW w:w="696" w:type="dxa"/>
            <w:noWrap w:val="0"/>
            <w:vAlign w:val="center"/>
          </w:tcPr>
          <w:p w14:paraId="7433846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1422" w:type="dxa"/>
            <w:noWrap w:val="0"/>
            <w:vAlign w:val="center"/>
          </w:tcPr>
          <w:p w14:paraId="667B0E8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5925" w:type="dxa"/>
            <w:noWrap w:val="0"/>
            <w:vAlign w:val="center"/>
          </w:tcPr>
          <w:p w14:paraId="78EB2E3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7292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CBABFF0">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696" w:type="dxa"/>
            <w:noWrap w:val="0"/>
            <w:vAlign w:val="center"/>
          </w:tcPr>
          <w:p w14:paraId="270786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7DB7409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52B26638">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7F11200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1765495C">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②在投标文件中提供各方盖章签署的共同投标协议原件。</w:t>
            </w:r>
          </w:p>
        </w:tc>
      </w:tr>
      <w:tr w14:paraId="7D07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47C22B1B">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696" w:type="dxa"/>
            <w:noWrap w:val="0"/>
            <w:vAlign w:val="center"/>
          </w:tcPr>
          <w:p w14:paraId="684EE39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center"/>
          </w:tcPr>
          <w:p w14:paraId="7C840FA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center"/>
          </w:tcPr>
          <w:p w14:paraId="17F1091B">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rPr>
              <w:t>采购单位</w:t>
            </w:r>
            <w:r>
              <w:rPr>
                <w:rFonts w:hint="eastAsia" w:ascii="宋体" w:hAnsi="宋体" w:cs="宋体"/>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563C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58E8DBAC">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696" w:type="dxa"/>
            <w:noWrap w:val="0"/>
            <w:vAlign w:val="center"/>
          </w:tcPr>
          <w:p w14:paraId="12E37852">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1422" w:type="dxa"/>
            <w:noWrap w:val="0"/>
            <w:vAlign w:val="center"/>
          </w:tcPr>
          <w:p w14:paraId="34FE35C8">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039C9975">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1A90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3FF121D3">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696" w:type="dxa"/>
            <w:noWrap w:val="0"/>
            <w:vAlign w:val="center"/>
          </w:tcPr>
          <w:p w14:paraId="4CAAB6D6">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3050E0AD">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2319C67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6346CC05">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6B7419A5">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6070C01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4EBA359D">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5F60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14:paraId="1F5E081B">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696" w:type="dxa"/>
            <w:noWrap w:val="0"/>
            <w:vAlign w:val="center"/>
          </w:tcPr>
          <w:p w14:paraId="18B13699">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noWrap w:val="0"/>
            <w:vAlign w:val="center"/>
          </w:tcPr>
          <w:p w14:paraId="0F2B2159">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noWrap w:val="0"/>
            <w:vAlign w:val="center"/>
          </w:tcPr>
          <w:p w14:paraId="5F1F0C26">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519E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44D45E2D">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696" w:type="dxa"/>
            <w:tcBorders>
              <w:bottom w:val="single" w:color="auto" w:sz="4" w:space="0"/>
            </w:tcBorders>
            <w:noWrap w:val="0"/>
            <w:vAlign w:val="center"/>
          </w:tcPr>
          <w:p w14:paraId="032692C3">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2FD4D4BE">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1E57A1B2">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投标人应按照招标文件格式要求在投标文件中提供《廉洁承诺书》原件（投标人为联合体的，联合体各方均应提供《廉洁承诺书》原件），否则作无效投标处理。</w:t>
            </w:r>
          </w:p>
        </w:tc>
      </w:tr>
      <w:tr w14:paraId="52D6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51102A75">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696" w:type="dxa"/>
            <w:tcBorders>
              <w:bottom w:val="single" w:color="auto" w:sz="4" w:space="0"/>
            </w:tcBorders>
            <w:noWrap w:val="0"/>
            <w:vAlign w:val="center"/>
          </w:tcPr>
          <w:p w14:paraId="4FE66007">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1422" w:type="dxa"/>
            <w:tcBorders>
              <w:bottom w:val="single" w:color="auto" w:sz="4" w:space="0"/>
            </w:tcBorders>
            <w:noWrap w:val="0"/>
            <w:vAlign w:val="center"/>
          </w:tcPr>
          <w:p w14:paraId="19170D34">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5925" w:type="dxa"/>
            <w:tcBorders>
              <w:bottom w:val="single" w:color="auto" w:sz="4" w:space="0"/>
            </w:tcBorders>
            <w:noWrap w:val="0"/>
            <w:vAlign w:val="center"/>
          </w:tcPr>
          <w:p w14:paraId="31569D9E">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37388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281BB7F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696" w:type="dxa"/>
            <w:tcBorders>
              <w:bottom w:val="single" w:color="auto" w:sz="4" w:space="0"/>
            </w:tcBorders>
            <w:noWrap w:val="0"/>
            <w:vAlign w:val="center"/>
          </w:tcPr>
          <w:p w14:paraId="1D31467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6AC86C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58339E9D">
            <w:pPr>
              <w:pStyle w:val="17"/>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tc>
      </w:tr>
      <w:tr w14:paraId="58FC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5F9301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noWrap w:val="0"/>
            <w:vAlign w:val="center"/>
          </w:tcPr>
          <w:p w14:paraId="100F76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1291C95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56592DB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★8.投标人在递交投标文件时应提供以下样品：按附件二的要求提供样品。</w:t>
            </w:r>
          </w:p>
        </w:tc>
      </w:tr>
      <w:tr w14:paraId="25A9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7C32FA64">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noWrap w:val="0"/>
            <w:vAlign w:val="center"/>
          </w:tcPr>
          <w:p w14:paraId="06E4ED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53ADE3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44E9BCB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9.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w:t>
            </w:r>
            <w:r>
              <w:rPr>
                <w:rFonts w:hint="eastAsia" w:ascii="宋体" w:hAnsi="宋体" w:eastAsia="宋体" w:cs="宋体"/>
                <w:b/>
                <w:color w:val="auto"/>
                <w:sz w:val="24"/>
                <w:szCs w:val="24"/>
                <w:highlight w:val="none"/>
                <w:lang w:val="en-US" w:eastAsia="zh-CN"/>
              </w:rPr>
              <w:t>投标</w:t>
            </w:r>
            <w:r>
              <w:rPr>
                <w:rFonts w:hint="default" w:ascii="宋体" w:hAnsi="宋体" w:eastAsia="宋体" w:cs="宋体"/>
                <w:b/>
                <w:color w:val="auto"/>
                <w:sz w:val="24"/>
                <w:szCs w:val="24"/>
                <w:highlight w:val="none"/>
              </w:rPr>
              <w:t>截止时间前，送至</w:t>
            </w:r>
            <w:r>
              <w:rPr>
                <w:rFonts w:hint="default" w:ascii="宋体" w:hAnsi="宋体" w:eastAsia="宋体" w:cs="宋体"/>
                <w:b/>
                <w:color w:val="auto"/>
                <w:sz w:val="24"/>
                <w:szCs w:val="24"/>
                <w:highlight w:val="none"/>
                <w:u w:val="single"/>
              </w:rPr>
              <w:t>厦门市湖里区云顶北路842号厦门市政务服务中心负一楼样品间</w:t>
            </w:r>
            <w:r>
              <w:rPr>
                <w:rFonts w:hint="default" w:ascii="宋体" w:hAnsi="宋体" w:eastAsia="宋体" w:cs="宋体"/>
                <w:b/>
                <w:color w:val="auto"/>
                <w:sz w:val="24"/>
                <w:szCs w:val="24"/>
                <w:highlight w:val="none"/>
              </w:rPr>
              <w:t>。</w:t>
            </w:r>
          </w:p>
        </w:tc>
      </w:tr>
      <w:tr w14:paraId="527B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8D3FD2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noWrap w:val="0"/>
            <w:vAlign w:val="center"/>
          </w:tcPr>
          <w:p w14:paraId="427905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5B1949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0259B82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★8.投标人必须在投标文件中</w:t>
            </w:r>
            <w:r>
              <w:rPr>
                <w:rFonts w:hint="eastAsia" w:ascii="宋体" w:hAnsi="宋体" w:eastAsia="宋体" w:cs="宋体"/>
                <w:b/>
                <w:color w:val="auto"/>
                <w:sz w:val="24"/>
                <w:szCs w:val="24"/>
                <w:highlight w:val="none"/>
                <w:lang w:val="en-US" w:eastAsia="zh-CN"/>
              </w:rPr>
              <w:t>提供</w:t>
            </w:r>
            <w:r>
              <w:rPr>
                <w:rFonts w:hint="default" w:ascii="宋体" w:hAnsi="宋体" w:eastAsia="宋体" w:cs="宋体"/>
                <w:b/>
                <w:color w:val="auto"/>
                <w:sz w:val="24"/>
                <w:szCs w:val="24"/>
                <w:highlight w:val="none"/>
              </w:rPr>
              <w:t>书面承诺</w:t>
            </w:r>
            <w:r>
              <w:rPr>
                <w:rFonts w:hint="eastAsia" w:ascii="宋体" w:hAnsi="宋体" w:eastAsia="宋体" w:cs="宋体"/>
                <w:b/>
                <w:color w:val="auto"/>
                <w:sz w:val="24"/>
                <w:szCs w:val="24"/>
                <w:highlight w:val="none"/>
                <w:lang w:val="en-US" w:eastAsia="zh-CN"/>
              </w:rPr>
              <w:t>函</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hint="default" w:ascii="宋体" w:hAnsi="宋体" w:eastAsia="宋体" w:cs="宋体"/>
                <w:b/>
                <w:color w:val="auto"/>
                <w:sz w:val="24"/>
                <w:szCs w:val="24"/>
                <w:highlight w:val="none"/>
              </w:rPr>
              <w:t>：一旦中标，在生产本次采购家具的过程中，邀请采购人代表到工厂对产品从进料、开胚、上漆、成型等一系列生产程序进行检查、监督；采购人根据合同进度可以采用书面函件形式要求投标人对生产情况合理改进，投标人应予书面答复，并制定完整的整改措施。</w:t>
            </w:r>
          </w:p>
        </w:tc>
      </w:tr>
      <w:tr w14:paraId="5B67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center"/>
          </w:tcPr>
          <w:p w14:paraId="36BC8E1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noWrap w:val="0"/>
            <w:vAlign w:val="center"/>
          </w:tcPr>
          <w:p w14:paraId="449C84C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center"/>
          </w:tcPr>
          <w:p w14:paraId="34CB462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center"/>
          </w:tcPr>
          <w:p w14:paraId="397BD9D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default" w:ascii="宋体" w:hAnsi="宋体" w:eastAsia="宋体" w:cs="宋体"/>
                <w:b/>
                <w:color w:val="auto"/>
                <w:sz w:val="24"/>
                <w:szCs w:val="24"/>
                <w:highlight w:val="none"/>
              </w:rPr>
              <w:t>★10.投标人必须在投标文件</w:t>
            </w:r>
            <w:r>
              <w:rPr>
                <w:rFonts w:hint="eastAsia" w:ascii="宋体" w:hAnsi="宋体" w:eastAsia="宋体" w:cs="宋体"/>
                <w:b/>
                <w:color w:val="auto"/>
                <w:sz w:val="24"/>
                <w:szCs w:val="24"/>
                <w:highlight w:val="none"/>
                <w:lang w:val="en-US" w:eastAsia="zh-CN"/>
              </w:rPr>
              <w:t>提供</w:t>
            </w:r>
            <w:r>
              <w:rPr>
                <w:rFonts w:hint="default" w:ascii="宋体" w:hAnsi="宋体" w:eastAsia="宋体" w:cs="宋体"/>
                <w:b/>
                <w:color w:val="auto"/>
                <w:sz w:val="24"/>
                <w:szCs w:val="24"/>
                <w:highlight w:val="none"/>
              </w:rPr>
              <w:t>书面承诺</w:t>
            </w:r>
            <w:r>
              <w:rPr>
                <w:rFonts w:hint="eastAsia" w:ascii="宋体" w:hAnsi="宋体" w:eastAsia="宋体" w:cs="宋体"/>
                <w:b/>
                <w:color w:val="auto"/>
                <w:sz w:val="24"/>
                <w:szCs w:val="24"/>
                <w:highlight w:val="none"/>
                <w:lang w:val="en-US" w:eastAsia="zh-CN"/>
              </w:rPr>
              <w:t>函</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hint="default" w:ascii="宋体" w:hAnsi="宋体" w:eastAsia="宋体" w:cs="宋体"/>
                <w:b/>
                <w:color w:val="auto"/>
                <w:sz w:val="24"/>
                <w:szCs w:val="24"/>
                <w:highlight w:val="none"/>
              </w:rPr>
              <w:t>：一旦</w:t>
            </w:r>
            <w:r>
              <w:rPr>
                <w:rFonts w:hint="eastAsia" w:ascii="宋体" w:hAnsi="宋体" w:eastAsia="宋体" w:cs="宋体"/>
                <w:b/>
                <w:color w:val="auto"/>
                <w:sz w:val="24"/>
                <w:szCs w:val="24"/>
                <w:highlight w:val="none"/>
                <w:lang w:val="en-US" w:eastAsia="zh-CN"/>
              </w:rPr>
              <w:t>中标</w:t>
            </w:r>
            <w:r>
              <w:rPr>
                <w:rFonts w:hint="default" w:ascii="宋体" w:hAnsi="宋体" w:eastAsia="宋体" w:cs="宋体"/>
                <w:b/>
                <w:color w:val="auto"/>
                <w:sz w:val="24"/>
                <w:szCs w:val="24"/>
                <w:highlight w:val="none"/>
              </w:rPr>
              <w:t>，在保证按招标文件中要求提供的产品数量进行供货外，还应保证能够免费提供足够的样品供采购人邀请相关部门对其在封闭式的环境中进行开放性的检测；如经检测家具环保等指标达不到国家以及招标文件中的要求，投标人应按成交价的2倍金额赔偿给采购人</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并要求更换符合要求的产品</w:t>
            </w:r>
            <w:r>
              <w:rPr>
                <w:rFonts w:hint="default" w:ascii="宋体" w:hAnsi="宋体" w:eastAsia="宋体" w:cs="宋体"/>
                <w:b/>
                <w:color w:val="auto"/>
                <w:sz w:val="24"/>
                <w:szCs w:val="24"/>
                <w:highlight w:val="none"/>
              </w:rPr>
              <w:t>。</w:t>
            </w:r>
          </w:p>
        </w:tc>
      </w:tr>
      <w:tr w14:paraId="36A6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29A4231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noWrap w:val="0"/>
            <w:vAlign w:val="top"/>
          </w:tcPr>
          <w:p w14:paraId="7F3DA5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73F115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0310B2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eastAsia" w:ascii="宋体" w:hAnsi="宋体" w:eastAsia="宋体" w:cs="宋体"/>
                <w:b/>
                <w:color w:val="auto"/>
                <w:sz w:val="24"/>
                <w:szCs w:val="24"/>
                <w:highlight w:val="none"/>
                <w:lang w:val="en-US" w:eastAsia="zh-CN"/>
              </w:rPr>
              <w:t>5</w:t>
            </w:r>
            <w:r>
              <w:rPr>
                <w:rFonts w:hint="default" w:ascii="宋体" w:hAnsi="宋体" w:eastAsia="宋体" w:cs="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w:t>
            </w:r>
            <w:r>
              <w:rPr>
                <w:rFonts w:hint="eastAsia" w:ascii="宋体" w:hAnsi="宋体" w:eastAsia="宋体" w:cs="宋体"/>
                <w:b/>
                <w:color w:val="auto"/>
                <w:sz w:val="24"/>
                <w:szCs w:val="24"/>
                <w:highlight w:val="none"/>
                <w:lang w:val="en-US" w:eastAsia="zh-CN"/>
              </w:rPr>
              <w:t>一</w:t>
            </w:r>
            <w:r>
              <w:rPr>
                <w:rFonts w:hint="default" w:ascii="宋体" w:hAnsi="宋体" w:eastAsia="宋体" w:cs="宋体"/>
                <w:b/>
                <w:color w:val="auto"/>
                <w:sz w:val="24"/>
                <w:szCs w:val="24"/>
                <w:highlight w:val="none"/>
              </w:rPr>
              <w:t>名专人与采购人建立服务联系。</w:t>
            </w:r>
          </w:p>
        </w:tc>
      </w:tr>
      <w:tr w14:paraId="56FD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0F66880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noWrap w:val="0"/>
            <w:vAlign w:val="top"/>
          </w:tcPr>
          <w:p w14:paraId="3A04CB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1316688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340D8F31">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1.投标人须以人民币报价且报价总价应含货物费、运至采购人指定地点的运输费、保险费和伴随服务费（包括产品检验检测）、安装调试（包括安装所需的辅材、配件等）费用、税收及售后服务等一切与完成本项目相关的费用，报价方式为指定目的地价。一旦中标，合同价款将不予调整。采购人不接受有选择的报价。</w:t>
            </w:r>
          </w:p>
        </w:tc>
      </w:tr>
      <w:tr w14:paraId="240E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1164CCC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696" w:type="dxa"/>
            <w:noWrap w:val="0"/>
            <w:vAlign w:val="top"/>
          </w:tcPr>
          <w:p w14:paraId="357152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3E721E8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465893A6">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★1.本项目</w:t>
            </w:r>
            <w:r>
              <w:rPr>
                <w:rFonts w:hint="eastAsia" w:ascii="宋体" w:hAnsi="宋体" w:eastAsia="宋体" w:cs="宋体"/>
                <w:b/>
                <w:color w:val="auto"/>
                <w:sz w:val="24"/>
                <w:szCs w:val="24"/>
                <w:highlight w:val="none"/>
                <w:lang w:val="en-US" w:eastAsia="zh-CN"/>
              </w:rPr>
              <w:t>：</w:t>
            </w:r>
            <w:r>
              <w:rPr>
                <w:rFonts w:hint="default" w:ascii="宋体" w:hAnsi="宋体" w:eastAsia="宋体" w:cs="宋体"/>
                <w:b/>
                <w:color w:val="auto"/>
                <w:sz w:val="24"/>
                <w:szCs w:val="24"/>
                <w:highlight w:val="none"/>
              </w:rPr>
              <w:t>采购预算为人民币</w:t>
            </w:r>
            <w:r>
              <w:rPr>
                <w:rFonts w:hint="eastAsia" w:ascii="宋体" w:hAnsi="宋体" w:eastAsia="宋体" w:cs="宋体"/>
                <w:b/>
                <w:color w:val="auto"/>
                <w:sz w:val="24"/>
                <w:szCs w:val="24"/>
                <w:highlight w:val="none"/>
                <w:lang w:val="en-US" w:eastAsia="zh-CN"/>
              </w:rPr>
              <w:t>1322474</w:t>
            </w:r>
            <w:r>
              <w:rPr>
                <w:rFonts w:hint="default" w:ascii="宋体" w:hAnsi="宋体" w:eastAsia="宋体" w:cs="宋体"/>
                <w:b/>
                <w:color w:val="auto"/>
                <w:sz w:val="24"/>
                <w:szCs w:val="24"/>
                <w:highlight w:val="none"/>
                <w:lang w:val="en-US" w:eastAsia="zh-CN"/>
              </w:rPr>
              <w:t>元</w:t>
            </w:r>
            <w:r>
              <w:rPr>
                <w:rFonts w:hint="default" w:ascii="宋体" w:hAnsi="宋体" w:eastAsia="宋体" w:cs="宋体"/>
                <w:b/>
                <w:color w:val="auto"/>
                <w:sz w:val="24"/>
                <w:szCs w:val="24"/>
                <w:highlight w:val="none"/>
              </w:rPr>
              <w:t>，该采购预算为最高限价，投标人不得超过最高限价，否则将做无效投标处理。</w:t>
            </w:r>
          </w:p>
        </w:tc>
      </w:tr>
      <w:tr w14:paraId="2932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top"/>
          </w:tcPr>
          <w:p w14:paraId="739A97D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38</w:t>
            </w:r>
          </w:p>
        </w:tc>
        <w:tc>
          <w:tcPr>
            <w:tcW w:w="696" w:type="dxa"/>
            <w:noWrap w:val="0"/>
            <w:vAlign w:val="top"/>
          </w:tcPr>
          <w:p w14:paraId="54B4E9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noWrap w:val="0"/>
            <w:vAlign w:val="top"/>
          </w:tcPr>
          <w:p w14:paraId="7C3601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noWrap w:val="0"/>
            <w:vAlign w:val="top"/>
          </w:tcPr>
          <w:p w14:paraId="7680007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★7.</w:t>
            </w:r>
            <w:r>
              <w:rPr>
                <w:rFonts w:hint="eastAsia" w:ascii="宋体" w:hAnsi="宋体" w:eastAsia="宋体" w:cs="宋体"/>
                <w:b/>
                <w:color w:val="auto"/>
                <w:sz w:val="24"/>
                <w:szCs w:val="24"/>
                <w:highlight w:val="none"/>
                <w:lang w:val="en-US" w:eastAsia="zh-CN"/>
              </w:rPr>
              <w:t>交货</w:t>
            </w:r>
            <w:r>
              <w:rPr>
                <w:rFonts w:hint="default" w:ascii="宋体" w:hAnsi="宋体" w:eastAsia="宋体" w:cs="宋体"/>
                <w:b/>
                <w:color w:val="auto"/>
                <w:sz w:val="24"/>
                <w:szCs w:val="24"/>
                <w:highlight w:val="none"/>
              </w:rPr>
              <w:t>期：合同签订之日起</w:t>
            </w:r>
            <w:r>
              <w:rPr>
                <w:rFonts w:hint="eastAsia" w:ascii="宋体" w:hAnsi="宋体" w:eastAsia="宋体" w:cs="宋体"/>
                <w:b/>
                <w:color w:val="auto"/>
                <w:sz w:val="24"/>
                <w:szCs w:val="24"/>
                <w:highlight w:val="none"/>
                <w:lang w:val="en-US" w:eastAsia="zh-CN"/>
              </w:rPr>
              <w:t>3</w:t>
            </w:r>
            <w:r>
              <w:rPr>
                <w:rFonts w:hint="default" w:ascii="宋体" w:hAnsi="宋体" w:eastAsia="宋体" w:cs="宋体"/>
                <w:b/>
                <w:color w:val="auto"/>
                <w:sz w:val="24"/>
                <w:szCs w:val="24"/>
                <w:highlight w:val="none"/>
              </w:rPr>
              <w:t>0个日历日内（含交货及安装）。</w:t>
            </w:r>
          </w:p>
        </w:tc>
      </w:tr>
      <w:tr w14:paraId="7DCC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noWrap w:val="0"/>
            <w:vAlign w:val="top"/>
          </w:tcPr>
          <w:p w14:paraId="576BFCE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39</w:t>
            </w:r>
          </w:p>
        </w:tc>
        <w:tc>
          <w:tcPr>
            <w:tcW w:w="696" w:type="dxa"/>
            <w:tcBorders>
              <w:bottom w:val="single" w:color="auto" w:sz="4" w:space="0"/>
            </w:tcBorders>
            <w:noWrap w:val="0"/>
            <w:vAlign w:val="top"/>
          </w:tcPr>
          <w:p w14:paraId="210C46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1422" w:type="dxa"/>
            <w:tcBorders>
              <w:bottom w:val="single" w:color="auto" w:sz="4" w:space="0"/>
            </w:tcBorders>
            <w:noWrap w:val="0"/>
            <w:vAlign w:val="top"/>
          </w:tcPr>
          <w:p w14:paraId="7EE10F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925" w:type="dxa"/>
            <w:tcBorders>
              <w:bottom w:val="single" w:color="auto" w:sz="4" w:space="0"/>
            </w:tcBorders>
            <w:noWrap w:val="0"/>
            <w:vAlign w:val="top"/>
          </w:tcPr>
          <w:p w14:paraId="36994232">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default" w:ascii="宋体" w:hAnsi="宋体" w:eastAsia="宋体" w:cs="宋体"/>
                <w:b/>
                <w:color w:val="auto"/>
                <w:sz w:val="24"/>
                <w:szCs w:val="24"/>
                <w:highlight w:val="none"/>
              </w:rPr>
              <w:t>★9.投标人须在投标文件中作出响应：投标人若中标，未按工期内完成交付使用并最终验收合格，每逾期一天，罚款为合同总额的千分之一。</w:t>
            </w:r>
          </w:p>
        </w:tc>
      </w:tr>
    </w:tbl>
    <w:p w14:paraId="41F8B4BA">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14A11936">
      <w:pPr>
        <w:spacing w:line="360" w:lineRule="auto"/>
        <w:jc w:val="center"/>
        <w:rPr>
          <w:rFonts w:hint="eastAsia" w:ascii="宋体" w:hAnsi="宋体" w:eastAsia="宋体" w:cs="宋体"/>
          <w:color w:val="auto"/>
          <w:sz w:val="32"/>
          <w:szCs w:val="32"/>
          <w:highlight w:val="none"/>
        </w:rPr>
      </w:pPr>
    </w:p>
    <w:p w14:paraId="7958997E">
      <w:pPr>
        <w:spacing w:line="360" w:lineRule="auto"/>
        <w:jc w:val="center"/>
        <w:rPr>
          <w:rFonts w:hint="eastAsia" w:ascii="宋体" w:hAnsi="宋体" w:eastAsia="宋体" w:cs="宋体"/>
          <w:color w:val="auto"/>
          <w:sz w:val="32"/>
          <w:szCs w:val="32"/>
          <w:highlight w:val="none"/>
        </w:rPr>
      </w:pPr>
    </w:p>
    <w:p w14:paraId="47B533E4">
      <w:pPr>
        <w:spacing w:line="360" w:lineRule="auto"/>
        <w:jc w:val="center"/>
        <w:rPr>
          <w:rFonts w:hint="eastAsia" w:ascii="宋体" w:hAnsi="宋体" w:eastAsia="宋体" w:cs="宋体"/>
          <w:color w:val="auto"/>
          <w:sz w:val="32"/>
          <w:szCs w:val="32"/>
          <w:highlight w:val="none"/>
        </w:rPr>
      </w:pPr>
    </w:p>
    <w:p w14:paraId="0045024E">
      <w:pPr>
        <w:spacing w:line="360" w:lineRule="auto"/>
        <w:jc w:val="center"/>
        <w:rPr>
          <w:rFonts w:hint="eastAsia" w:ascii="宋体" w:hAnsi="宋体" w:eastAsia="宋体" w:cs="宋体"/>
          <w:color w:val="auto"/>
          <w:sz w:val="32"/>
          <w:szCs w:val="32"/>
          <w:highlight w:val="none"/>
        </w:rPr>
      </w:pPr>
    </w:p>
    <w:p w14:paraId="69558EAF">
      <w:pPr>
        <w:spacing w:line="360" w:lineRule="auto"/>
        <w:jc w:val="center"/>
        <w:rPr>
          <w:rFonts w:hint="eastAsia" w:ascii="宋体" w:hAnsi="宋体" w:eastAsia="宋体" w:cs="宋体"/>
          <w:color w:val="auto"/>
          <w:sz w:val="32"/>
          <w:szCs w:val="32"/>
          <w:highlight w:val="none"/>
        </w:rPr>
      </w:pPr>
    </w:p>
    <w:p w14:paraId="2DFC8A67">
      <w:pPr>
        <w:spacing w:line="360" w:lineRule="auto"/>
        <w:jc w:val="center"/>
        <w:rPr>
          <w:rFonts w:hint="eastAsia" w:ascii="宋体" w:hAnsi="宋体" w:eastAsia="宋体" w:cs="宋体"/>
          <w:color w:val="auto"/>
          <w:sz w:val="32"/>
          <w:szCs w:val="32"/>
          <w:highlight w:val="none"/>
        </w:rPr>
      </w:pPr>
    </w:p>
    <w:p w14:paraId="79D13FB6">
      <w:pPr>
        <w:spacing w:line="360" w:lineRule="auto"/>
        <w:jc w:val="center"/>
        <w:rPr>
          <w:rFonts w:hint="eastAsia" w:ascii="宋体" w:hAnsi="宋体" w:eastAsia="宋体" w:cs="宋体"/>
          <w:color w:val="auto"/>
          <w:sz w:val="32"/>
          <w:szCs w:val="32"/>
          <w:highlight w:val="none"/>
        </w:rPr>
      </w:pPr>
    </w:p>
    <w:p w14:paraId="416091F7">
      <w:pPr>
        <w:spacing w:line="360" w:lineRule="auto"/>
        <w:jc w:val="center"/>
        <w:rPr>
          <w:rFonts w:hint="eastAsia" w:ascii="宋体" w:hAnsi="宋体" w:eastAsia="宋体" w:cs="宋体"/>
          <w:color w:val="auto"/>
          <w:sz w:val="32"/>
          <w:szCs w:val="32"/>
          <w:highlight w:val="none"/>
        </w:rPr>
      </w:pPr>
    </w:p>
    <w:p w14:paraId="22030CC8">
      <w:pPr>
        <w:spacing w:line="360" w:lineRule="auto"/>
        <w:jc w:val="center"/>
        <w:rPr>
          <w:rFonts w:hint="eastAsia" w:ascii="宋体" w:hAnsi="宋体" w:eastAsia="宋体" w:cs="宋体"/>
          <w:color w:val="auto"/>
          <w:sz w:val="32"/>
          <w:szCs w:val="32"/>
          <w:highlight w:val="none"/>
        </w:rPr>
      </w:pPr>
    </w:p>
    <w:p w14:paraId="2114D22B">
      <w:pPr>
        <w:spacing w:line="360" w:lineRule="auto"/>
        <w:jc w:val="center"/>
        <w:rPr>
          <w:rFonts w:hint="eastAsia" w:ascii="宋体" w:hAnsi="宋体" w:eastAsia="宋体" w:cs="宋体"/>
          <w:color w:val="auto"/>
          <w:sz w:val="32"/>
          <w:szCs w:val="32"/>
          <w:highlight w:val="none"/>
        </w:rPr>
      </w:pPr>
    </w:p>
    <w:p w14:paraId="6FA0FA8D">
      <w:pPr>
        <w:spacing w:line="360" w:lineRule="auto"/>
        <w:jc w:val="center"/>
        <w:rPr>
          <w:rFonts w:hint="eastAsia" w:ascii="宋体" w:hAnsi="宋体" w:eastAsia="宋体" w:cs="宋体"/>
          <w:color w:val="auto"/>
          <w:sz w:val="32"/>
          <w:szCs w:val="32"/>
          <w:highlight w:val="none"/>
        </w:rPr>
      </w:pPr>
    </w:p>
    <w:p w14:paraId="39FB549D">
      <w:pPr>
        <w:spacing w:line="360" w:lineRule="auto"/>
        <w:jc w:val="center"/>
        <w:rPr>
          <w:rFonts w:hint="eastAsia" w:ascii="宋体" w:hAnsi="宋体" w:eastAsia="宋体" w:cs="宋体"/>
          <w:color w:val="auto"/>
          <w:sz w:val="32"/>
          <w:szCs w:val="32"/>
          <w:highlight w:val="none"/>
        </w:rPr>
      </w:pPr>
    </w:p>
    <w:p w14:paraId="192C22CA">
      <w:pPr>
        <w:spacing w:line="360" w:lineRule="auto"/>
        <w:jc w:val="center"/>
        <w:rPr>
          <w:rFonts w:hint="eastAsia" w:ascii="宋体" w:hAnsi="宋体" w:eastAsia="宋体" w:cs="宋体"/>
          <w:color w:val="auto"/>
          <w:sz w:val="32"/>
          <w:szCs w:val="32"/>
          <w:highlight w:val="none"/>
        </w:rPr>
      </w:pPr>
    </w:p>
    <w:p w14:paraId="2C3259D6">
      <w:pPr>
        <w:spacing w:line="360" w:lineRule="auto"/>
        <w:jc w:val="center"/>
        <w:rPr>
          <w:rFonts w:hint="eastAsia" w:ascii="宋体" w:hAnsi="宋体" w:eastAsia="宋体" w:cs="宋体"/>
          <w:color w:val="auto"/>
          <w:sz w:val="32"/>
          <w:szCs w:val="32"/>
          <w:highlight w:val="none"/>
        </w:rPr>
      </w:pPr>
    </w:p>
    <w:p w14:paraId="0C801213">
      <w:pPr>
        <w:spacing w:line="360" w:lineRule="auto"/>
        <w:jc w:val="center"/>
        <w:rPr>
          <w:rFonts w:hint="eastAsia" w:ascii="宋体" w:hAnsi="宋体" w:eastAsia="宋体" w:cs="宋体"/>
          <w:color w:val="auto"/>
          <w:sz w:val="32"/>
          <w:szCs w:val="32"/>
          <w:highlight w:val="none"/>
        </w:rPr>
      </w:pPr>
    </w:p>
    <w:p w14:paraId="10C6D0E3">
      <w:pPr>
        <w:spacing w:line="360" w:lineRule="auto"/>
        <w:jc w:val="center"/>
        <w:rPr>
          <w:rFonts w:hint="eastAsia" w:ascii="宋体" w:hAnsi="宋体" w:eastAsia="宋体" w:cs="宋体"/>
          <w:color w:val="auto"/>
          <w:sz w:val="32"/>
          <w:szCs w:val="32"/>
          <w:highlight w:val="none"/>
        </w:rPr>
      </w:pPr>
    </w:p>
    <w:p w14:paraId="44B9DE66">
      <w:pPr>
        <w:spacing w:line="360" w:lineRule="auto"/>
        <w:jc w:val="center"/>
        <w:rPr>
          <w:rFonts w:hint="eastAsia" w:ascii="宋体" w:hAnsi="宋体" w:eastAsia="宋体" w:cs="宋体"/>
          <w:color w:val="auto"/>
          <w:sz w:val="32"/>
          <w:szCs w:val="32"/>
          <w:highlight w:val="none"/>
        </w:rPr>
      </w:pPr>
    </w:p>
    <w:p w14:paraId="2DC06617">
      <w:pPr>
        <w:spacing w:line="360" w:lineRule="auto"/>
        <w:jc w:val="center"/>
        <w:rPr>
          <w:rFonts w:hint="eastAsia" w:ascii="宋体" w:hAnsi="宋体" w:eastAsia="宋体" w:cs="宋体"/>
          <w:color w:val="auto"/>
          <w:sz w:val="32"/>
          <w:szCs w:val="32"/>
          <w:highlight w:val="none"/>
        </w:rPr>
      </w:pPr>
    </w:p>
    <w:p w14:paraId="67C5B38A">
      <w:pPr>
        <w:spacing w:line="360" w:lineRule="auto"/>
        <w:jc w:val="center"/>
        <w:rPr>
          <w:rFonts w:hint="eastAsia" w:ascii="宋体" w:hAnsi="宋体" w:eastAsia="宋体" w:cs="宋体"/>
          <w:b/>
          <w:color w:val="auto"/>
          <w:sz w:val="32"/>
          <w:szCs w:val="32"/>
          <w:highlight w:val="none"/>
          <w:u w:val="single"/>
        </w:rPr>
      </w:pPr>
      <w:r>
        <w:rPr>
          <w:rFonts w:hint="eastAsia" w:ascii="宋体" w:hAnsi="宋体" w:eastAsia="宋体" w:cs="宋体"/>
          <w:color w:val="auto"/>
          <w:sz w:val="32"/>
          <w:szCs w:val="32"/>
          <w:highlight w:val="none"/>
        </w:rPr>
        <w:t>投标人须知前附表3：评标方法、评标标准、定标原则</w:t>
      </w:r>
    </w:p>
    <w:tbl>
      <w:tblPr>
        <w:tblStyle w:val="1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FAC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4A172B8C">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1496BE5C">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56F5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44C45E69">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37D300E4">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047DC592">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3DDB9574">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0B2F3D26">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14:paraId="2DF97A0A">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6F9BC600">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43A8FCE6">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7D0D5C08">
            <w:pPr>
              <w:pStyle w:val="2"/>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66A9901C">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255D0106">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14:paraId="361446B0">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25D916EC">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678D5E45">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51397141">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0723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6B25631B">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14:paraId="6438ED82">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4041262C">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31F5735A">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5982CBC7">
      <w:pPr>
        <w:pStyle w:val="2"/>
        <w:snapToGrid w:val="0"/>
        <w:spacing w:line="360" w:lineRule="auto"/>
        <w:ind w:firstLine="0"/>
        <w:rPr>
          <w:rFonts w:hint="eastAsia" w:ascii="宋体" w:hAnsi="宋体" w:eastAsia="宋体" w:cs="宋体"/>
          <w:b/>
          <w:color w:val="auto"/>
          <w:sz w:val="24"/>
          <w:szCs w:val="24"/>
          <w:highlight w:val="none"/>
          <w:u w:val="single"/>
        </w:rPr>
      </w:pPr>
    </w:p>
    <w:p w14:paraId="32B1DB3F">
      <w:pPr>
        <w:tabs>
          <w:tab w:val="left" w:pos="-1080"/>
          <w:tab w:val="left" w:pos="180"/>
          <w:tab w:val="left" w:pos="1080"/>
        </w:tabs>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附件：评标标准、权重</w:t>
      </w:r>
    </w:p>
    <w:p w14:paraId="65DC949C">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lang w:val="en-US" w:eastAsia="zh-CN"/>
        </w:rPr>
        <w:t>55</w:t>
      </w:r>
      <w:r>
        <w:rPr>
          <w:rFonts w:hint="eastAsia" w:ascii="宋体" w:hAnsi="宋体" w:eastAsia="宋体" w:cs="宋体"/>
          <w:color w:val="auto"/>
          <w:sz w:val="24"/>
          <w:szCs w:val="24"/>
          <w:highlight w:val="none"/>
        </w:rPr>
        <w:t>分评分法，技术评分考虑下列因素：</w:t>
      </w:r>
    </w:p>
    <w:tbl>
      <w:tblPr>
        <w:tblStyle w:val="12"/>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6838"/>
        <w:gridCol w:w="898"/>
      </w:tblGrid>
      <w:tr w14:paraId="00F3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02DB9E4A">
            <w:pPr>
              <w:keepNext w:val="0"/>
              <w:keepLines w:val="0"/>
              <w:suppressLineNumbers w:val="0"/>
              <w:spacing w:before="0" w:beforeAutospacing="0" w:after="0" w:afterAutospacing="0" w:line="360" w:lineRule="auto"/>
              <w:ind w:left="0" w:leftChars="0" w:right="0" w:rightChars="0"/>
              <w:jc w:val="center"/>
              <w:rPr>
                <w:rFonts w:hint="eastAsia" w:asciiTheme="majorEastAsia" w:hAnsiTheme="majorEastAsia" w:eastAsiaTheme="majorEastAsia" w:cstheme="majorEastAsia"/>
                <w:b/>
                <w:bCs/>
                <w:color w:val="auto"/>
                <w:sz w:val="24"/>
                <w:szCs w:val="24"/>
                <w:highlight w:val="none"/>
              </w:rPr>
            </w:pPr>
            <w:bookmarkStart w:id="0" w:name="_Hlk117085386"/>
            <w:r>
              <w:rPr>
                <w:rFonts w:hint="eastAsia" w:asciiTheme="majorEastAsia" w:hAnsiTheme="majorEastAsia" w:eastAsiaTheme="majorEastAsia" w:cstheme="majorEastAsia"/>
                <w:b/>
                <w:bCs/>
                <w:color w:val="auto"/>
                <w:sz w:val="24"/>
                <w:szCs w:val="24"/>
                <w:highlight w:val="none"/>
              </w:rPr>
              <w:t>序号</w:t>
            </w:r>
          </w:p>
        </w:tc>
        <w:tc>
          <w:tcPr>
            <w:tcW w:w="6838" w:type="dxa"/>
            <w:noWrap w:val="0"/>
            <w:vAlign w:val="center"/>
          </w:tcPr>
          <w:p w14:paraId="1F27E74C">
            <w:pPr>
              <w:keepNext w:val="0"/>
              <w:keepLines w:val="0"/>
              <w:suppressLineNumbers w:val="0"/>
              <w:spacing w:before="0" w:beforeAutospacing="0" w:after="0" w:afterAutospacing="0" w:line="360" w:lineRule="auto"/>
              <w:ind w:left="0" w:leftChars="0" w:right="0" w:rightChars="0"/>
              <w:jc w:val="center"/>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t>细则内容</w:t>
            </w:r>
          </w:p>
        </w:tc>
        <w:tc>
          <w:tcPr>
            <w:tcW w:w="898" w:type="dxa"/>
            <w:noWrap w:val="0"/>
            <w:vAlign w:val="center"/>
          </w:tcPr>
          <w:p w14:paraId="09E0B7DA">
            <w:pPr>
              <w:keepNext w:val="0"/>
              <w:keepLines w:val="0"/>
              <w:suppressLineNumbers w:val="0"/>
              <w:spacing w:before="0" w:beforeAutospacing="0" w:after="0" w:afterAutospacing="0" w:line="360" w:lineRule="auto"/>
              <w:ind w:left="0" w:right="0"/>
              <w:jc w:val="center"/>
              <w:rPr>
                <w:rFonts w:hint="default"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t>满分</w:t>
            </w:r>
          </w:p>
          <w:p w14:paraId="5B6267B1">
            <w:pPr>
              <w:keepNext w:val="0"/>
              <w:keepLines w:val="0"/>
              <w:suppressLineNumbers w:val="0"/>
              <w:spacing w:before="0" w:beforeAutospacing="0" w:after="0" w:afterAutospacing="0" w:line="360" w:lineRule="auto"/>
              <w:ind w:left="0" w:leftChars="0" w:right="0" w:rightChars="0"/>
              <w:jc w:val="center"/>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t>分值</w:t>
            </w:r>
          </w:p>
        </w:tc>
      </w:tr>
      <w:tr w14:paraId="0816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5DE0A901">
            <w:pPr>
              <w:keepNext w:val="0"/>
              <w:keepLines w:val="0"/>
              <w:suppressLineNumbers w:val="0"/>
              <w:wordWrap w:val="0"/>
              <w:adjustRightInd w:val="0"/>
              <w:snapToGrid w:val="0"/>
              <w:spacing w:before="0" w:beforeAutospacing="0" w:after="0" w:afterAutospacing="0" w:line="360" w:lineRule="auto"/>
              <w:ind w:left="69" w:right="0"/>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kern w:val="10"/>
                <w:sz w:val="24"/>
                <w:szCs w:val="24"/>
                <w:highlight w:val="none"/>
              </w:rPr>
              <w:t>1-1</w:t>
            </w:r>
          </w:p>
        </w:tc>
        <w:tc>
          <w:tcPr>
            <w:tcW w:w="6838" w:type="dxa"/>
            <w:noWrap w:val="0"/>
            <w:vAlign w:val="center"/>
          </w:tcPr>
          <w:p w14:paraId="666EFC1D">
            <w:pPr>
              <w:pStyle w:val="18"/>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color w:val="auto"/>
                <w:kern w:val="2"/>
                <w:sz w:val="24"/>
                <w:szCs w:val="24"/>
                <w:highlight w:val="none"/>
                <w:lang w:eastAsia="zh-CN" w:bidi="ar-SA"/>
              </w:rPr>
            </w:pPr>
            <w:r>
              <w:rPr>
                <w:rFonts w:hint="eastAsia" w:asciiTheme="majorEastAsia" w:hAnsiTheme="majorEastAsia" w:eastAsiaTheme="majorEastAsia" w:cstheme="majorEastAsia"/>
                <w:color w:val="auto"/>
                <w:kern w:val="2"/>
                <w:sz w:val="24"/>
                <w:szCs w:val="24"/>
                <w:highlight w:val="none"/>
                <w:lang w:eastAsia="zh-CN" w:bidi="ar-SA"/>
              </w:rPr>
              <w:t>根据供应商提供的现场踏勘情况进行评价：</w:t>
            </w:r>
          </w:p>
          <w:p w14:paraId="61ACEF26">
            <w:pPr>
              <w:pStyle w:val="18"/>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color w:val="auto"/>
                <w:kern w:val="2"/>
                <w:sz w:val="24"/>
                <w:szCs w:val="24"/>
                <w:highlight w:val="none"/>
                <w:lang w:eastAsia="zh-CN" w:bidi="ar-SA"/>
              </w:rPr>
            </w:pPr>
            <w:r>
              <w:rPr>
                <w:rFonts w:hint="eastAsia" w:asciiTheme="majorEastAsia" w:hAnsiTheme="majorEastAsia" w:eastAsiaTheme="majorEastAsia" w:cstheme="majorEastAsia"/>
                <w:color w:val="auto"/>
                <w:kern w:val="2"/>
                <w:sz w:val="24"/>
                <w:szCs w:val="24"/>
                <w:highlight w:val="none"/>
                <w:lang w:eastAsia="zh-CN" w:bidi="ar-SA"/>
              </w:rPr>
              <w:t>①提供现场踏勘报告（至少包括现场实施区域照片及文字描述）的得1.</w:t>
            </w:r>
            <w:r>
              <w:rPr>
                <w:rFonts w:hint="eastAsia" w:asciiTheme="majorEastAsia" w:hAnsiTheme="majorEastAsia" w:eastAsiaTheme="majorEastAsia" w:cstheme="majorEastAsia"/>
                <w:color w:val="auto"/>
                <w:kern w:val="2"/>
                <w:sz w:val="24"/>
                <w:szCs w:val="24"/>
                <w:highlight w:val="none"/>
                <w:lang w:val="en-US" w:eastAsia="zh-CN" w:bidi="ar-SA"/>
              </w:rPr>
              <w:t>625</w:t>
            </w:r>
            <w:r>
              <w:rPr>
                <w:rFonts w:hint="eastAsia" w:asciiTheme="majorEastAsia" w:hAnsiTheme="majorEastAsia" w:eastAsiaTheme="majorEastAsia" w:cstheme="majorEastAsia"/>
                <w:color w:val="auto"/>
                <w:kern w:val="2"/>
                <w:sz w:val="24"/>
                <w:szCs w:val="24"/>
                <w:highlight w:val="none"/>
                <w:lang w:eastAsia="zh-CN" w:bidi="ar-SA"/>
              </w:rPr>
              <w:t>分；</w:t>
            </w:r>
          </w:p>
          <w:p w14:paraId="3E8E081D">
            <w:pPr>
              <w:pStyle w:val="18"/>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color w:val="auto"/>
                <w:kern w:val="2"/>
                <w:sz w:val="24"/>
                <w:szCs w:val="24"/>
                <w:highlight w:val="none"/>
                <w:lang w:eastAsia="zh-CN" w:bidi="ar-SA"/>
              </w:rPr>
            </w:pPr>
            <w:r>
              <w:rPr>
                <w:rFonts w:hint="eastAsia" w:asciiTheme="majorEastAsia" w:hAnsiTheme="majorEastAsia" w:eastAsiaTheme="majorEastAsia" w:cstheme="majorEastAsia"/>
                <w:color w:val="auto"/>
                <w:kern w:val="2"/>
                <w:sz w:val="24"/>
                <w:szCs w:val="24"/>
                <w:highlight w:val="none"/>
                <w:lang w:eastAsia="zh-CN" w:bidi="ar-SA"/>
              </w:rPr>
              <w:t>②在满足①的基础上，踏勘报告详实、对项目现状描述准确，符合项目现场实际情况，并对项目实施重点难点进行描述，提出相应的解决方案的得2分；</w:t>
            </w:r>
          </w:p>
          <w:p w14:paraId="6633AA2C">
            <w:pPr>
              <w:pStyle w:val="18"/>
              <w:keepNext w:val="0"/>
              <w:keepLines w:val="0"/>
              <w:widowControl/>
              <w:suppressLineNumbers w:val="0"/>
              <w:wordWrap w:val="0"/>
              <w:spacing w:before="0" w:beforeAutospacing="0" w:after="0" w:afterAutospacing="0"/>
              <w:ind w:left="0" w:right="0"/>
              <w:rPr>
                <w:rFonts w:hint="eastAsia" w:asciiTheme="majorEastAsia" w:hAnsiTheme="majorEastAsia" w:eastAsiaTheme="majorEastAsia" w:cstheme="majorEastAsia"/>
                <w:color w:val="auto"/>
                <w:kern w:val="2"/>
                <w:sz w:val="24"/>
                <w:szCs w:val="24"/>
                <w:highlight w:val="none"/>
                <w:lang w:eastAsia="zh-CN" w:bidi="ar-SA"/>
              </w:rPr>
            </w:pPr>
            <w:r>
              <w:rPr>
                <w:rFonts w:hint="eastAsia" w:asciiTheme="majorEastAsia" w:hAnsiTheme="majorEastAsia" w:eastAsiaTheme="majorEastAsia" w:cstheme="majorEastAsia"/>
                <w:color w:val="auto"/>
                <w:kern w:val="2"/>
                <w:sz w:val="24"/>
                <w:szCs w:val="24"/>
                <w:highlight w:val="none"/>
                <w:lang w:eastAsia="zh-CN" w:bidi="ar-SA"/>
              </w:rPr>
              <w:t>③未提供或不符合上述情形的不得分。</w:t>
            </w:r>
          </w:p>
        </w:tc>
        <w:tc>
          <w:tcPr>
            <w:tcW w:w="898" w:type="dxa"/>
            <w:noWrap w:val="0"/>
            <w:vAlign w:val="center"/>
          </w:tcPr>
          <w:p w14:paraId="49EE22BB">
            <w:pPr>
              <w:pStyle w:val="19"/>
              <w:keepNext w:val="0"/>
              <w:keepLines w:val="0"/>
              <w:suppressLineNumbers w:val="0"/>
              <w:wordWrap w:val="0"/>
              <w:snapToGrid w:val="0"/>
              <w:spacing w:before="0" w:beforeAutospacing="0" w:after="0" w:afterAutospacing="0" w:line="360" w:lineRule="auto"/>
              <w:ind w:left="0" w:right="0"/>
              <w:jc w:val="center"/>
              <w:rPr>
                <w:rFonts w:hint="default" w:asciiTheme="majorEastAsia" w:hAnsiTheme="majorEastAsia" w:eastAsiaTheme="majorEastAsia" w:cstheme="majorEastAsia"/>
                <w:color w:val="auto"/>
                <w:kern w:val="2"/>
                <w:sz w:val="24"/>
                <w:szCs w:val="24"/>
                <w:highlight w:val="none"/>
                <w:lang w:eastAsia="zh-CN"/>
              </w:rPr>
            </w:pPr>
            <w:r>
              <w:rPr>
                <w:rFonts w:hint="eastAsia" w:asciiTheme="majorEastAsia" w:hAnsiTheme="majorEastAsia" w:eastAsiaTheme="majorEastAsia" w:cstheme="majorEastAsia"/>
                <w:color w:val="auto"/>
                <w:sz w:val="24"/>
                <w:szCs w:val="24"/>
                <w:highlight w:val="none"/>
                <w:lang w:val="en-US" w:eastAsia="zh-CN"/>
              </w:rPr>
              <w:t>2</w:t>
            </w:r>
          </w:p>
        </w:tc>
      </w:tr>
      <w:tr w14:paraId="3393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1C5143EF">
            <w:pPr>
              <w:keepNext w:val="0"/>
              <w:keepLines w:val="0"/>
              <w:suppressLineNumbers w:val="0"/>
              <w:wordWrap w:val="0"/>
              <w:adjustRightInd w:val="0"/>
              <w:snapToGrid w:val="0"/>
              <w:spacing w:before="0" w:beforeAutospacing="0" w:after="0" w:afterAutospacing="0" w:line="360" w:lineRule="auto"/>
              <w:ind w:left="69" w:right="0"/>
              <w:jc w:val="center"/>
              <w:rPr>
                <w:rFonts w:hint="default"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kern w:val="10"/>
                <w:sz w:val="24"/>
                <w:szCs w:val="24"/>
                <w:highlight w:val="none"/>
              </w:rPr>
              <w:t>1-</w:t>
            </w:r>
            <w:r>
              <w:rPr>
                <w:rFonts w:hint="eastAsia" w:asciiTheme="majorEastAsia" w:hAnsiTheme="majorEastAsia" w:eastAsiaTheme="majorEastAsia" w:cstheme="majorEastAsia"/>
                <w:color w:val="auto"/>
                <w:kern w:val="10"/>
                <w:sz w:val="24"/>
                <w:szCs w:val="24"/>
                <w:highlight w:val="none"/>
                <w:lang w:val="en-US" w:eastAsia="zh-CN"/>
              </w:rPr>
              <w:t>2</w:t>
            </w:r>
          </w:p>
        </w:tc>
        <w:tc>
          <w:tcPr>
            <w:tcW w:w="6838" w:type="dxa"/>
            <w:noWrap w:val="0"/>
            <w:vAlign w:val="center"/>
          </w:tcPr>
          <w:p w14:paraId="02430275">
            <w:pPr>
              <w:pStyle w:val="18"/>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eastAsia="zh-CN" w:bidi="ar-SA"/>
              </w:rPr>
              <w:t>根据投标人提供的</w:t>
            </w:r>
            <w:r>
              <w:rPr>
                <w:rFonts w:hint="eastAsia" w:asciiTheme="majorEastAsia" w:hAnsiTheme="majorEastAsia" w:eastAsiaTheme="majorEastAsia" w:cstheme="majorEastAsia"/>
                <w:color w:val="auto"/>
                <w:kern w:val="2"/>
                <w:sz w:val="24"/>
                <w:szCs w:val="24"/>
                <w:highlight w:val="none"/>
                <w:lang w:val="en-US" w:eastAsia="zh-CN" w:bidi="ar-SA"/>
              </w:rPr>
              <w:t>项目</w:t>
            </w:r>
            <w:r>
              <w:rPr>
                <w:rFonts w:hint="eastAsia" w:asciiTheme="majorEastAsia" w:hAnsiTheme="majorEastAsia" w:eastAsiaTheme="majorEastAsia" w:cstheme="majorEastAsia"/>
                <w:color w:val="auto"/>
                <w:kern w:val="2"/>
                <w:sz w:val="24"/>
                <w:szCs w:val="24"/>
                <w:highlight w:val="none"/>
                <w:lang w:eastAsia="zh-CN" w:bidi="ar-SA"/>
              </w:rPr>
              <w:t>平局布置</w:t>
            </w:r>
            <w:r>
              <w:rPr>
                <w:rFonts w:hint="eastAsia" w:asciiTheme="majorEastAsia" w:hAnsiTheme="majorEastAsia" w:eastAsiaTheme="majorEastAsia" w:cstheme="majorEastAsia"/>
                <w:color w:val="auto"/>
                <w:kern w:val="2"/>
                <w:sz w:val="24"/>
                <w:szCs w:val="24"/>
                <w:highlight w:val="none"/>
                <w:lang w:val="en-US" w:eastAsia="zh-CN" w:bidi="ar-SA"/>
              </w:rPr>
              <w:t>图</w:t>
            </w:r>
            <w:r>
              <w:rPr>
                <w:rFonts w:hint="eastAsia" w:asciiTheme="majorEastAsia" w:hAnsiTheme="majorEastAsia" w:eastAsiaTheme="majorEastAsia" w:cstheme="majorEastAsia"/>
                <w:color w:val="auto"/>
                <w:kern w:val="2"/>
                <w:sz w:val="24"/>
                <w:szCs w:val="24"/>
                <w:highlight w:val="none"/>
                <w:lang w:eastAsia="zh-CN" w:bidi="ar-SA"/>
              </w:rPr>
              <w:t>情况进行评价：</w:t>
            </w:r>
            <w:r>
              <w:rPr>
                <w:rFonts w:hint="eastAsia" w:asciiTheme="majorEastAsia" w:hAnsiTheme="majorEastAsia" w:eastAsiaTheme="majorEastAsia" w:cstheme="majorEastAsia"/>
                <w:color w:val="auto"/>
                <w:kern w:val="2"/>
                <w:sz w:val="24"/>
                <w:szCs w:val="24"/>
                <w:highlight w:val="none"/>
                <w:lang w:val="en-US" w:eastAsia="zh-CN" w:bidi="ar-SA"/>
              </w:rPr>
              <w:t>①有提供</w:t>
            </w:r>
            <w:r>
              <w:rPr>
                <w:rFonts w:hint="eastAsia" w:asciiTheme="majorEastAsia" w:hAnsiTheme="majorEastAsia" w:eastAsiaTheme="majorEastAsia" w:cstheme="majorEastAsia"/>
                <w:color w:val="auto"/>
                <w:kern w:val="2"/>
                <w:sz w:val="24"/>
                <w:szCs w:val="24"/>
                <w:highlight w:val="none"/>
                <w:lang w:eastAsia="zh-CN" w:bidi="ar-SA"/>
              </w:rPr>
              <w:t>平局布置</w:t>
            </w:r>
            <w:r>
              <w:rPr>
                <w:rFonts w:hint="eastAsia" w:asciiTheme="majorEastAsia" w:hAnsiTheme="majorEastAsia" w:eastAsiaTheme="majorEastAsia" w:cstheme="majorEastAsia"/>
                <w:color w:val="auto"/>
                <w:kern w:val="2"/>
                <w:sz w:val="24"/>
                <w:szCs w:val="24"/>
                <w:highlight w:val="none"/>
                <w:lang w:val="en-US" w:eastAsia="zh-CN" w:bidi="ar-SA"/>
              </w:rPr>
              <w:t>图（不得是网络图片），图片清晰不模糊的得</w:t>
            </w:r>
            <w:r>
              <w:rPr>
                <w:rFonts w:hint="eastAsia" w:asciiTheme="majorEastAsia" w:hAnsiTheme="majorEastAsia" w:eastAsiaTheme="majorEastAsia" w:cstheme="majorEastAsia"/>
                <w:color w:val="auto"/>
                <w:kern w:val="2"/>
                <w:sz w:val="24"/>
                <w:szCs w:val="24"/>
                <w:highlight w:val="none"/>
                <w:lang w:eastAsia="zh-CN" w:bidi="ar-SA"/>
              </w:rPr>
              <w:t>1.</w:t>
            </w:r>
            <w:r>
              <w:rPr>
                <w:rFonts w:hint="eastAsia" w:asciiTheme="majorEastAsia" w:hAnsiTheme="majorEastAsia" w:eastAsiaTheme="majorEastAsia" w:cstheme="majorEastAsia"/>
                <w:color w:val="auto"/>
                <w:kern w:val="2"/>
                <w:sz w:val="24"/>
                <w:szCs w:val="24"/>
                <w:highlight w:val="none"/>
                <w:lang w:val="en-US" w:eastAsia="zh-CN" w:bidi="ar-SA"/>
              </w:rPr>
              <w:t>625分；</w:t>
            </w:r>
          </w:p>
          <w:p w14:paraId="34982A42">
            <w:pPr>
              <w:pStyle w:val="18"/>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②在满足①基础上，能结合学校实际情况，设布局主题明确，内容完整全面，布局美观，有利于提升项目建设目标的得2分；</w:t>
            </w:r>
          </w:p>
          <w:p w14:paraId="2ED05164">
            <w:pPr>
              <w:pStyle w:val="18"/>
              <w:keepNext w:val="0"/>
              <w:keepLines w:val="0"/>
              <w:widowControl/>
              <w:suppressLineNumbers w:val="0"/>
              <w:spacing w:before="0" w:beforeAutospacing="0" w:after="0" w:afterAutospacing="0"/>
              <w:ind w:left="0" w:right="0"/>
              <w:rPr>
                <w:rFonts w:asciiTheme="majorEastAsia" w:hAnsiTheme="majorEastAsia" w:eastAsiaTheme="majorEastAsia" w:cstheme="majorEastAsia"/>
                <w:color w:val="auto"/>
                <w:kern w:val="2"/>
                <w:sz w:val="24"/>
                <w:szCs w:val="24"/>
                <w:highlight w:val="none"/>
                <w:lang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③未提供布局图的不得分。</w:t>
            </w:r>
          </w:p>
        </w:tc>
        <w:tc>
          <w:tcPr>
            <w:tcW w:w="898" w:type="dxa"/>
            <w:noWrap w:val="0"/>
            <w:vAlign w:val="center"/>
          </w:tcPr>
          <w:p w14:paraId="198DF756">
            <w:pPr>
              <w:pStyle w:val="19"/>
              <w:keepNext w:val="0"/>
              <w:keepLines w:val="0"/>
              <w:suppressLineNumbers w:val="0"/>
              <w:wordWrap w:val="0"/>
              <w:snapToGrid w:val="0"/>
              <w:spacing w:before="0" w:beforeAutospacing="0" w:after="0" w:afterAutospacing="0" w:line="360" w:lineRule="auto"/>
              <w:ind w:left="0" w:right="0"/>
              <w:jc w:val="center"/>
              <w:rPr>
                <w:rFonts w:hint="default" w:asciiTheme="majorEastAsia" w:hAnsiTheme="majorEastAsia" w:eastAsiaTheme="majorEastAsia" w:cstheme="majorEastAsia"/>
                <w:color w:val="auto"/>
                <w:kern w:val="2"/>
                <w:sz w:val="24"/>
                <w:szCs w:val="24"/>
                <w:highlight w:val="none"/>
                <w:lang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2B65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3F2DD97">
            <w:pPr>
              <w:keepNext w:val="0"/>
              <w:keepLines w:val="0"/>
              <w:suppressLineNumbers w:val="0"/>
              <w:wordWrap w:val="0"/>
              <w:adjustRightInd w:val="0"/>
              <w:snapToGrid w:val="0"/>
              <w:spacing w:before="0" w:beforeAutospacing="0" w:after="0" w:afterAutospacing="0" w:line="360" w:lineRule="auto"/>
              <w:ind w:left="69" w:right="0"/>
              <w:jc w:val="center"/>
              <w:rPr>
                <w:rFonts w:hint="default"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kern w:val="0"/>
                <w:sz w:val="24"/>
                <w:szCs w:val="24"/>
                <w:highlight w:val="none"/>
              </w:rPr>
              <w:t>1-</w:t>
            </w:r>
            <w:r>
              <w:rPr>
                <w:rFonts w:hint="eastAsia" w:asciiTheme="majorEastAsia" w:hAnsiTheme="majorEastAsia" w:eastAsiaTheme="majorEastAsia" w:cstheme="majorEastAsia"/>
                <w:color w:val="auto"/>
                <w:kern w:val="0"/>
                <w:sz w:val="24"/>
                <w:szCs w:val="24"/>
                <w:highlight w:val="none"/>
                <w:lang w:val="en-US" w:eastAsia="zh-CN"/>
              </w:rPr>
              <w:t>3</w:t>
            </w:r>
          </w:p>
        </w:tc>
        <w:tc>
          <w:tcPr>
            <w:tcW w:w="6838" w:type="dxa"/>
            <w:noWrap w:val="0"/>
            <w:vAlign w:val="center"/>
          </w:tcPr>
          <w:p w14:paraId="0876594E">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 xml:space="preserve">根据投标人提供的供货组织方案（至少包含以下 5 部分内容：主要供货方法、供货组织部署、供货人员方案、供货车辆方案、安装调试方案) 进行评审：方案包含以上 </w:t>
            </w:r>
            <w:r>
              <w:rPr>
                <w:rFonts w:hint="eastAsia" w:asciiTheme="majorEastAsia" w:hAnsiTheme="majorEastAsia" w:eastAsiaTheme="majorEastAsia" w:cstheme="majorEastAsia"/>
                <w:color w:val="auto"/>
                <w:sz w:val="24"/>
                <w:szCs w:val="24"/>
                <w:highlight w:val="none"/>
                <w:lang w:val="en-US" w:eastAsia="zh-CN"/>
              </w:rPr>
              <w:t>5</w:t>
            </w:r>
            <w:r>
              <w:rPr>
                <w:rFonts w:hint="eastAsia" w:asciiTheme="majorEastAsia" w:hAnsiTheme="majorEastAsia" w:eastAsiaTheme="majorEastAsia" w:cstheme="majorEastAsia"/>
                <w:color w:val="auto"/>
                <w:sz w:val="24"/>
                <w:szCs w:val="24"/>
                <w:highlight w:val="none"/>
              </w:rPr>
              <w:t xml:space="preserve"> 项内容的得 </w:t>
            </w:r>
            <w:r>
              <w:rPr>
                <w:rFonts w:hint="eastAsia" w:asciiTheme="majorEastAsia" w:hAnsiTheme="majorEastAsia" w:eastAsiaTheme="majorEastAsia" w:cstheme="majorEastAsia"/>
                <w:color w:val="auto"/>
                <w:sz w:val="24"/>
                <w:szCs w:val="24"/>
                <w:highlight w:val="none"/>
                <w:lang w:val="en-US" w:eastAsia="zh-CN"/>
              </w:rPr>
              <w:t>2</w:t>
            </w:r>
            <w:r>
              <w:rPr>
                <w:rFonts w:hint="eastAsia" w:asciiTheme="majorEastAsia" w:hAnsiTheme="majorEastAsia" w:eastAsiaTheme="majorEastAsia" w:cstheme="majorEastAsia"/>
                <w:color w:val="auto"/>
                <w:sz w:val="24"/>
                <w:szCs w:val="24"/>
                <w:highlight w:val="none"/>
              </w:rPr>
              <w:t xml:space="preserve"> 分；方案包含以上 </w:t>
            </w:r>
            <w:r>
              <w:rPr>
                <w:rFonts w:hint="eastAsia" w:asciiTheme="majorEastAsia" w:hAnsiTheme="majorEastAsia" w:eastAsiaTheme="majorEastAsia" w:cstheme="majorEastAsia"/>
                <w:color w:val="auto"/>
                <w:sz w:val="24"/>
                <w:szCs w:val="24"/>
                <w:highlight w:val="none"/>
                <w:lang w:eastAsia="zh-CN"/>
              </w:rPr>
              <w:t>4</w:t>
            </w:r>
            <w:r>
              <w:rPr>
                <w:rFonts w:hint="eastAsia" w:asciiTheme="majorEastAsia" w:hAnsiTheme="majorEastAsia" w:eastAsiaTheme="majorEastAsia" w:cstheme="majorEastAsia"/>
                <w:color w:val="auto"/>
                <w:sz w:val="24"/>
                <w:szCs w:val="24"/>
                <w:highlight w:val="none"/>
                <w:lang w:val="en-US" w:eastAsia="zh-CN"/>
              </w:rPr>
              <w:t>-3</w:t>
            </w:r>
            <w:r>
              <w:rPr>
                <w:rFonts w:hint="eastAsia" w:asciiTheme="majorEastAsia" w:hAnsiTheme="majorEastAsia" w:eastAsiaTheme="majorEastAsia" w:cstheme="majorEastAsia"/>
                <w:color w:val="auto"/>
                <w:sz w:val="24"/>
                <w:szCs w:val="24"/>
                <w:highlight w:val="none"/>
              </w:rPr>
              <w:t xml:space="preserve"> 项内容的得1.</w:t>
            </w:r>
            <w:r>
              <w:rPr>
                <w:rFonts w:hint="eastAsia" w:asciiTheme="majorEastAsia" w:hAnsiTheme="majorEastAsia" w:eastAsiaTheme="majorEastAsia" w:cstheme="majorEastAsia"/>
                <w:color w:val="auto"/>
                <w:sz w:val="24"/>
                <w:szCs w:val="24"/>
                <w:highlight w:val="none"/>
                <w:lang w:val="en-US" w:eastAsia="zh-CN"/>
              </w:rPr>
              <w:t>625</w:t>
            </w:r>
            <w:r>
              <w:rPr>
                <w:rFonts w:hint="eastAsia" w:asciiTheme="majorEastAsia" w:hAnsiTheme="majorEastAsia" w:eastAsiaTheme="majorEastAsia" w:cstheme="majorEastAsia"/>
                <w:color w:val="auto"/>
                <w:sz w:val="24"/>
                <w:szCs w:val="24"/>
                <w:highlight w:val="none"/>
                <w:lang w:val="en-US"/>
              </w:rPr>
              <w:t>分</w:t>
            </w:r>
            <w:r>
              <w:rPr>
                <w:rFonts w:hint="eastAsia" w:asciiTheme="majorEastAsia" w:hAnsiTheme="majorEastAsia" w:eastAsiaTheme="majorEastAsia" w:cstheme="majorEastAsia"/>
                <w:color w:val="auto"/>
                <w:sz w:val="24"/>
                <w:szCs w:val="24"/>
                <w:highlight w:val="none"/>
                <w:lang w:val="en-US" w:eastAsia="zh-CN"/>
              </w:rPr>
              <w:t>，其余不得分</w:t>
            </w:r>
            <w:r>
              <w:rPr>
                <w:rFonts w:hint="eastAsia" w:asciiTheme="majorEastAsia" w:hAnsiTheme="majorEastAsia" w:eastAsiaTheme="majorEastAsia" w:cstheme="majorEastAsia"/>
                <w:color w:val="auto"/>
                <w:sz w:val="24"/>
                <w:szCs w:val="24"/>
                <w:highlight w:val="none"/>
              </w:rPr>
              <w:t>；未提供方案或者方案内容与本项目无关的不得分。</w:t>
            </w:r>
          </w:p>
        </w:tc>
        <w:tc>
          <w:tcPr>
            <w:tcW w:w="898" w:type="dxa"/>
            <w:noWrap w:val="0"/>
            <w:vAlign w:val="center"/>
          </w:tcPr>
          <w:p w14:paraId="06FE977F">
            <w:pPr>
              <w:pStyle w:val="19"/>
              <w:keepNext w:val="0"/>
              <w:keepLines w:val="0"/>
              <w:suppressLineNumbers w:val="0"/>
              <w:wordWrap w:val="0"/>
              <w:snapToGrid w:val="0"/>
              <w:spacing w:before="0" w:beforeAutospacing="0" w:after="0" w:afterAutospacing="0" w:line="360" w:lineRule="auto"/>
              <w:ind w:left="0" w:right="0"/>
              <w:jc w:val="center"/>
              <w:rPr>
                <w:rFonts w:hint="default" w:asciiTheme="majorEastAsia" w:hAnsiTheme="majorEastAsia" w:eastAsiaTheme="majorEastAsia" w:cstheme="majorEastAsia"/>
                <w:color w:val="auto"/>
                <w:kern w:val="2"/>
                <w:sz w:val="24"/>
                <w:szCs w:val="24"/>
                <w:highlight w:val="none"/>
                <w:lang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3663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CA4E95D">
            <w:pPr>
              <w:keepNext w:val="0"/>
              <w:keepLines w:val="0"/>
              <w:suppressLineNumbers w:val="0"/>
              <w:wordWrap w:val="0"/>
              <w:adjustRightInd w:val="0"/>
              <w:snapToGrid w:val="0"/>
              <w:spacing w:before="0" w:beforeAutospacing="0" w:after="0" w:afterAutospacing="0" w:line="360" w:lineRule="auto"/>
              <w:ind w:left="69" w:right="0"/>
              <w:jc w:val="center"/>
              <w:rPr>
                <w:rFonts w:hint="default"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kern w:val="0"/>
                <w:sz w:val="24"/>
                <w:szCs w:val="24"/>
                <w:highlight w:val="none"/>
              </w:rPr>
              <w:t>1-</w:t>
            </w:r>
            <w:r>
              <w:rPr>
                <w:rFonts w:hint="eastAsia" w:asciiTheme="majorEastAsia" w:hAnsiTheme="majorEastAsia" w:eastAsiaTheme="majorEastAsia" w:cstheme="majorEastAsia"/>
                <w:color w:val="auto"/>
                <w:kern w:val="0"/>
                <w:sz w:val="24"/>
                <w:szCs w:val="24"/>
                <w:highlight w:val="none"/>
                <w:lang w:val="en-US" w:eastAsia="zh-CN"/>
              </w:rPr>
              <w:t>4</w:t>
            </w:r>
          </w:p>
        </w:tc>
        <w:tc>
          <w:tcPr>
            <w:tcW w:w="6838" w:type="dxa"/>
            <w:noWrap w:val="0"/>
            <w:vAlign w:val="center"/>
          </w:tcPr>
          <w:p w14:paraId="4C6E1ED1">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 xml:space="preserve">根据投标人针对本项目制定的质量保障方案（至少包括以下4部分内容：技术团队、技术人员配备、质量保障措施、不合格货物退换方案）进行评审；方案包含以上 </w:t>
            </w:r>
            <w:r>
              <w:rPr>
                <w:rFonts w:hint="eastAsia" w:asciiTheme="majorEastAsia" w:hAnsiTheme="majorEastAsia" w:eastAsiaTheme="majorEastAsia" w:cstheme="majorEastAsia"/>
                <w:color w:val="auto"/>
                <w:sz w:val="24"/>
                <w:szCs w:val="24"/>
                <w:highlight w:val="none"/>
                <w:lang w:val="en-US" w:eastAsia="zh-CN"/>
              </w:rPr>
              <w:t>4</w:t>
            </w:r>
            <w:r>
              <w:rPr>
                <w:rFonts w:hint="eastAsia" w:asciiTheme="majorEastAsia" w:hAnsiTheme="majorEastAsia" w:eastAsiaTheme="majorEastAsia" w:cstheme="majorEastAsia"/>
                <w:color w:val="auto"/>
                <w:sz w:val="24"/>
                <w:szCs w:val="24"/>
                <w:highlight w:val="none"/>
              </w:rPr>
              <w:t xml:space="preserve"> 项内容的得 </w:t>
            </w:r>
            <w:r>
              <w:rPr>
                <w:rFonts w:hint="eastAsia" w:asciiTheme="majorEastAsia" w:hAnsiTheme="majorEastAsia" w:eastAsiaTheme="majorEastAsia" w:cstheme="majorEastAsia"/>
                <w:color w:val="auto"/>
                <w:sz w:val="24"/>
                <w:szCs w:val="24"/>
                <w:highlight w:val="none"/>
                <w:lang w:val="en-US" w:eastAsia="zh-CN"/>
              </w:rPr>
              <w:t>2</w:t>
            </w:r>
            <w:r>
              <w:rPr>
                <w:rFonts w:hint="eastAsia" w:asciiTheme="majorEastAsia" w:hAnsiTheme="majorEastAsia" w:eastAsiaTheme="majorEastAsia" w:cstheme="majorEastAsia"/>
                <w:color w:val="auto"/>
                <w:sz w:val="24"/>
                <w:szCs w:val="24"/>
                <w:highlight w:val="none"/>
              </w:rPr>
              <w:t xml:space="preserve"> 分；方案包含以上 </w:t>
            </w:r>
            <w:r>
              <w:rPr>
                <w:rFonts w:hint="eastAsia" w:asciiTheme="majorEastAsia" w:hAnsiTheme="majorEastAsia" w:eastAsiaTheme="majorEastAsia" w:cstheme="majorEastAsia"/>
                <w:color w:val="auto"/>
                <w:sz w:val="24"/>
                <w:szCs w:val="24"/>
                <w:highlight w:val="none"/>
                <w:lang w:eastAsia="zh-CN"/>
              </w:rPr>
              <w:t>3</w:t>
            </w:r>
            <w:r>
              <w:rPr>
                <w:rFonts w:hint="eastAsia" w:asciiTheme="majorEastAsia" w:hAnsiTheme="majorEastAsia" w:eastAsiaTheme="majorEastAsia" w:cstheme="majorEastAsia"/>
                <w:color w:val="auto"/>
                <w:sz w:val="24"/>
                <w:szCs w:val="24"/>
                <w:highlight w:val="none"/>
              </w:rPr>
              <w:t>-2 项内容的得1.</w:t>
            </w:r>
            <w:r>
              <w:rPr>
                <w:rFonts w:hint="eastAsia" w:asciiTheme="majorEastAsia" w:hAnsiTheme="majorEastAsia" w:eastAsiaTheme="majorEastAsia" w:cstheme="majorEastAsia"/>
                <w:color w:val="auto"/>
                <w:sz w:val="24"/>
                <w:szCs w:val="24"/>
                <w:highlight w:val="none"/>
                <w:lang w:val="en-US" w:eastAsia="zh-CN"/>
              </w:rPr>
              <w:t>625</w:t>
            </w:r>
            <w:r>
              <w:rPr>
                <w:rFonts w:hint="eastAsia" w:asciiTheme="majorEastAsia" w:hAnsiTheme="majorEastAsia" w:eastAsiaTheme="majorEastAsia" w:cstheme="majorEastAsia"/>
                <w:color w:val="auto"/>
                <w:sz w:val="24"/>
                <w:szCs w:val="24"/>
                <w:highlight w:val="none"/>
              </w:rPr>
              <w:t>分</w:t>
            </w:r>
            <w:r>
              <w:rPr>
                <w:rFonts w:hint="eastAsia" w:asciiTheme="majorEastAsia" w:hAnsiTheme="majorEastAsia" w:eastAsiaTheme="majorEastAsia" w:cstheme="majorEastAsia"/>
                <w:color w:val="auto"/>
                <w:sz w:val="24"/>
                <w:szCs w:val="24"/>
                <w:highlight w:val="none"/>
                <w:lang w:val="en-US" w:eastAsia="zh-CN"/>
              </w:rPr>
              <w:t>，其余不得分</w:t>
            </w:r>
            <w:r>
              <w:rPr>
                <w:rFonts w:hint="eastAsia" w:asciiTheme="majorEastAsia" w:hAnsiTheme="majorEastAsia" w:eastAsiaTheme="majorEastAsia" w:cstheme="majorEastAsia"/>
                <w:color w:val="auto"/>
                <w:sz w:val="24"/>
                <w:szCs w:val="24"/>
                <w:highlight w:val="none"/>
              </w:rPr>
              <w:t>；未提供方案或者方案内容与本项目无关的不得分。</w:t>
            </w:r>
          </w:p>
        </w:tc>
        <w:tc>
          <w:tcPr>
            <w:tcW w:w="898" w:type="dxa"/>
            <w:noWrap w:val="0"/>
            <w:vAlign w:val="center"/>
          </w:tcPr>
          <w:p w14:paraId="42C6073C">
            <w:pPr>
              <w:pStyle w:val="19"/>
              <w:keepNext w:val="0"/>
              <w:keepLines w:val="0"/>
              <w:suppressLineNumbers w:val="0"/>
              <w:wordWrap w:val="0"/>
              <w:snapToGrid w:val="0"/>
              <w:spacing w:before="0" w:beforeAutospacing="0" w:after="0" w:afterAutospacing="0" w:line="360" w:lineRule="auto"/>
              <w:ind w:left="0" w:right="0"/>
              <w:jc w:val="center"/>
              <w:rPr>
                <w:rFonts w:hint="default"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66864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54D2CD4A">
            <w:pPr>
              <w:keepNext w:val="0"/>
              <w:keepLines w:val="0"/>
              <w:suppressLineNumbers w:val="0"/>
              <w:wordWrap w:val="0"/>
              <w:adjustRightInd w:val="0"/>
              <w:snapToGrid w:val="0"/>
              <w:spacing w:before="0" w:beforeAutospacing="0" w:after="0" w:afterAutospacing="0" w:line="360" w:lineRule="auto"/>
              <w:ind w:left="69" w:right="0"/>
              <w:jc w:val="center"/>
              <w:rPr>
                <w:rFonts w:hint="default"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rPr>
              <w:t>1-</w:t>
            </w:r>
            <w:r>
              <w:rPr>
                <w:rFonts w:hint="eastAsia" w:asciiTheme="majorEastAsia" w:hAnsiTheme="majorEastAsia" w:eastAsiaTheme="majorEastAsia" w:cstheme="majorEastAsia"/>
                <w:color w:val="auto"/>
                <w:kern w:val="0"/>
                <w:sz w:val="24"/>
                <w:szCs w:val="24"/>
                <w:highlight w:val="none"/>
                <w:lang w:val="en-US" w:eastAsia="zh-CN"/>
              </w:rPr>
              <w:t>5</w:t>
            </w:r>
          </w:p>
        </w:tc>
        <w:tc>
          <w:tcPr>
            <w:tcW w:w="6838" w:type="dxa"/>
            <w:noWrap w:val="0"/>
            <w:vAlign w:val="center"/>
          </w:tcPr>
          <w:p w14:paraId="1AC6F4A1">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 xml:space="preserve">根据投标人提供的产品生产工艺流程说明（至少包含以下4部分内容：实木家具工艺流程、板式家具工艺流程、金属家具工艺流程、软体家具沙发工艺流程）进行评价：方案包含以上 </w:t>
            </w:r>
            <w:r>
              <w:rPr>
                <w:rFonts w:hint="eastAsia" w:asciiTheme="majorEastAsia" w:hAnsiTheme="majorEastAsia" w:eastAsiaTheme="majorEastAsia" w:cstheme="majorEastAsia"/>
                <w:color w:val="auto"/>
                <w:sz w:val="24"/>
                <w:szCs w:val="24"/>
                <w:highlight w:val="none"/>
                <w:lang w:val="en-US" w:eastAsia="zh-CN"/>
              </w:rPr>
              <w:t>4</w:t>
            </w:r>
            <w:r>
              <w:rPr>
                <w:rFonts w:hint="eastAsia" w:asciiTheme="majorEastAsia" w:hAnsiTheme="majorEastAsia" w:eastAsiaTheme="majorEastAsia" w:cstheme="majorEastAsia"/>
                <w:color w:val="auto"/>
                <w:sz w:val="24"/>
                <w:szCs w:val="24"/>
                <w:highlight w:val="none"/>
              </w:rPr>
              <w:t xml:space="preserve"> 项内容的得 </w:t>
            </w:r>
            <w:r>
              <w:rPr>
                <w:rFonts w:hint="eastAsia" w:asciiTheme="majorEastAsia" w:hAnsiTheme="majorEastAsia" w:eastAsiaTheme="majorEastAsia" w:cstheme="majorEastAsia"/>
                <w:color w:val="auto"/>
                <w:sz w:val="24"/>
                <w:szCs w:val="24"/>
                <w:highlight w:val="none"/>
                <w:lang w:val="en-US" w:eastAsia="zh-CN"/>
              </w:rPr>
              <w:t>2</w:t>
            </w:r>
            <w:r>
              <w:rPr>
                <w:rFonts w:hint="eastAsia" w:asciiTheme="majorEastAsia" w:hAnsiTheme="majorEastAsia" w:eastAsiaTheme="majorEastAsia" w:cstheme="majorEastAsia"/>
                <w:color w:val="auto"/>
                <w:sz w:val="24"/>
                <w:szCs w:val="24"/>
                <w:highlight w:val="none"/>
              </w:rPr>
              <w:t xml:space="preserve"> 分；方案包含以上</w:t>
            </w:r>
            <w:r>
              <w:rPr>
                <w:rFonts w:hint="eastAsia" w:asciiTheme="majorEastAsia" w:hAnsiTheme="majorEastAsia" w:eastAsiaTheme="majorEastAsia" w:cstheme="majorEastAsia"/>
                <w:color w:val="auto"/>
                <w:sz w:val="24"/>
                <w:szCs w:val="24"/>
                <w:highlight w:val="none"/>
                <w:lang w:eastAsia="zh-CN"/>
              </w:rPr>
              <w:t>3</w:t>
            </w:r>
            <w:r>
              <w:rPr>
                <w:rFonts w:hint="eastAsia" w:asciiTheme="majorEastAsia" w:hAnsiTheme="majorEastAsia" w:eastAsiaTheme="majorEastAsia" w:cstheme="majorEastAsia"/>
                <w:color w:val="auto"/>
                <w:sz w:val="24"/>
                <w:szCs w:val="24"/>
                <w:highlight w:val="none"/>
              </w:rPr>
              <w:t>-2 项内容的得1.</w:t>
            </w:r>
            <w:r>
              <w:rPr>
                <w:rFonts w:hint="eastAsia" w:asciiTheme="majorEastAsia" w:hAnsiTheme="majorEastAsia" w:eastAsiaTheme="majorEastAsia" w:cstheme="majorEastAsia"/>
                <w:color w:val="auto"/>
                <w:sz w:val="24"/>
                <w:szCs w:val="24"/>
                <w:highlight w:val="none"/>
                <w:lang w:val="en-US" w:eastAsia="zh-CN"/>
              </w:rPr>
              <w:t>625</w:t>
            </w:r>
            <w:r>
              <w:rPr>
                <w:rFonts w:hint="eastAsia" w:asciiTheme="majorEastAsia" w:hAnsiTheme="majorEastAsia" w:eastAsiaTheme="majorEastAsia" w:cstheme="majorEastAsia"/>
                <w:color w:val="auto"/>
                <w:sz w:val="24"/>
                <w:szCs w:val="24"/>
                <w:highlight w:val="none"/>
              </w:rPr>
              <w:t>分</w:t>
            </w:r>
            <w:r>
              <w:rPr>
                <w:rFonts w:hint="eastAsia" w:asciiTheme="majorEastAsia" w:hAnsiTheme="majorEastAsia" w:eastAsiaTheme="majorEastAsia" w:cstheme="majorEastAsia"/>
                <w:color w:val="auto"/>
                <w:sz w:val="24"/>
                <w:szCs w:val="24"/>
                <w:highlight w:val="none"/>
                <w:lang w:val="en-US" w:eastAsia="zh-CN"/>
              </w:rPr>
              <w:t>，其余不得分</w:t>
            </w:r>
            <w:r>
              <w:rPr>
                <w:rFonts w:hint="eastAsia" w:asciiTheme="majorEastAsia" w:hAnsiTheme="majorEastAsia" w:eastAsiaTheme="majorEastAsia" w:cstheme="majorEastAsia"/>
                <w:color w:val="auto"/>
                <w:sz w:val="24"/>
                <w:szCs w:val="24"/>
                <w:highlight w:val="none"/>
              </w:rPr>
              <w:t>；未提供方案或者方案内容与本项目无关的不得分。</w:t>
            </w:r>
          </w:p>
        </w:tc>
        <w:tc>
          <w:tcPr>
            <w:tcW w:w="898" w:type="dxa"/>
            <w:noWrap w:val="0"/>
            <w:vAlign w:val="center"/>
          </w:tcPr>
          <w:p w14:paraId="34C65A0C">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516E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2C37FA4">
            <w:pPr>
              <w:keepNext w:val="0"/>
              <w:keepLines w:val="0"/>
              <w:suppressLineNumbers w:val="0"/>
              <w:wordWrap w:val="0"/>
              <w:adjustRightInd w:val="0"/>
              <w:snapToGrid w:val="0"/>
              <w:spacing w:before="0" w:beforeAutospacing="0" w:after="0" w:afterAutospacing="0" w:line="360" w:lineRule="auto"/>
              <w:ind w:left="69" w:right="0"/>
              <w:jc w:val="center"/>
              <w:rPr>
                <w:rFonts w:hint="default"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rPr>
              <w:t>1-</w:t>
            </w:r>
            <w:r>
              <w:rPr>
                <w:rFonts w:hint="eastAsia" w:asciiTheme="majorEastAsia" w:hAnsiTheme="majorEastAsia" w:eastAsiaTheme="majorEastAsia" w:cstheme="majorEastAsia"/>
                <w:color w:val="auto"/>
                <w:sz w:val="24"/>
                <w:szCs w:val="24"/>
                <w:highlight w:val="none"/>
                <w:lang w:val="en-US" w:eastAsia="zh-CN"/>
              </w:rPr>
              <w:t>6</w:t>
            </w:r>
          </w:p>
        </w:tc>
        <w:tc>
          <w:tcPr>
            <w:tcW w:w="6838" w:type="dxa"/>
            <w:noWrap w:val="0"/>
            <w:vAlign w:val="center"/>
          </w:tcPr>
          <w:p w14:paraId="390FB332">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根据投标人提供的货物“吧台桌（1桌4椅））”参数满足情况进行评价</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椅座垫：座板最宽 425mm（±5mm）、最深 380mm（±5 mm）、壁厚不小于 5mm，座板中部相间分布有三排 5 个正五边形透气孔和两排 4 个正五边形透气孔，座板左右两边各分布一排 5 个正五边形透气孔，每个正五边形透气孔长 23mm（±2mm）宽 22mm（±2mm）、壁厚≥2.3mm，座板背面左右为 U 形凹槽宽度为 17mm（±2 mm）与椅座管完全吻合卡在一起，背面分布很多横竖交叉的加强筯条和 6 个十字形加强筯条柱。投标人应提供的3D</w:t>
            </w:r>
            <w:r>
              <w:rPr>
                <w:rFonts w:hint="eastAsia" w:asciiTheme="majorEastAsia" w:hAnsiTheme="majorEastAsia" w:eastAsiaTheme="majorEastAsia" w:cstheme="majorEastAsia"/>
                <w:color w:val="auto"/>
                <w:sz w:val="24"/>
                <w:szCs w:val="24"/>
                <w:highlight w:val="none"/>
                <w:lang w:val="en-US" w:eastAsia="zh-CN"/>
              </w:rPr>
              <w:t>彩图及尺寸图</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完全满足以上要求的得2分，否则不得分。</w:t>
            </w:r>
          </w:p>
        </w:tc>
        <w:tc>
          <w:tcPr>
            <w:tcW w:w="898" w:type="dxa"/>
            <w:noWrap w:val="0"/>
            <w:vAlign w:val="center"/>
          </w:tcPr>
          <w:p w14:paraId="0DF43B20">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73F9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56F8FCD7">
            <w:pPr>
              <w:keepNext w:val="0"/>
              <w:keepLines w:val="0"/>
              <w:suppressLineNumbers w:val="0"/>
              <w:wordWrap w:val="0"/>
              <w:adjustRightInd w:val="0"/>
              <w:snapToGrid w:val="0"/>
              <w:spacing w:before="0" w:beforeAutospacing="0" w:after="0" w:afterAutospacing="0" w:line="360" w:lineRule="auto"/>
              <w:ind w:left="69" w:right="0"/>
              <w:jc w:val="center"/>
              <w:rPr>
                <w:rFonts w:hint="default"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rPr>
              <w:t>1-</w:t>
            </w:r>
            <w:r>
              <w:rPr>
                <w:rFonts w:hint="eastAsia" w:asciiTheme="majorEastAsia" w:hAnsiTheme="majorEastAsia" w:eastAsiaTheme="majorEastAsia" w:cstheme="majorEastAsia"/>
                <w:color w:val="auto"/>
                <w:sz w:val="24"/>
                <w:szCs w:val="24"/>
                <w:highlight w:val="none"/>
                <w:lang w:val="en-US" w:eastAsia="zh-CN"/>
              </w:rPr>
              <w:t>7</w:t>
            </w:r>
          </w:p>
        </w:tc>
        <w:tc>
          <w:tcPr>
            <w:tcW w:w="6838" w:type="dxa"/>
            <w:noWrap w:val="0"/>
            <w:vAlign w:val="center"/>
          </w:tcPr>
          <w:p w14:paraId="66A53893">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根据投标人提供的货物“吧台桌（1桌4椅））”参数满足情况进行评价</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椅背板：背板最宽为 407mm（±5mm）、最高为 300mm（±5mm）、壁厚不小于 5mm，座板中部相间分布有三排 8 个正五边形透气孔和三排7个正五边形透气孔，每个正五边形透气孔长 23mm（±2mm）宽 22mm（±2mm）靠背板上面中间位置有一个椭圆形拉手孔洞长 116mm（± 2mm）中间宽 35mm（±2mm）两头宽 10mm（±2mm）壁厚≥2.3mm。靠背板后面左右各有一个不小于 41mm×26mm（±2mm）插口、深长≥176mm、壁厚≥2.3mm，椅背管完全吻合套在一起，再用螺丝固定住，靠背板后面上下平均三条加强筯。投标人应提供的3D</w:t>
            </w:r>
            <w:r>
              <w:rPr>
                <w:rFonts w:hint="eastAsia" w:asciiTheme="majorEastAsia" w:hAnsiTheme="majorEastAsia" w:eastAsiaTheme="majorEastAsia" w:cstheme="majorEastAsia"/>
                <w:color w:val="auto"/>
                <w:sz w:val="24"/>
                <w:szCs w:val="24"/>
                <w:highlight w:val="none"/>
                <w:lang w:val="en-US" w:eastAsia="zh-CN"/>
              </w:rPr>
              <w:t>彩图及尺寸图</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完全满足以上要求的得2分，否则不得分。</w:t>
            </w:r>
          </w:p>
        </w:tc>
        <w:tc>
          <w:tcPr>
            <w:tcW w:w="898" w:type="dxa"/>
            <w:noWrap w:val="0"/>
            <w:vAlign w:val="center"/>
          </w:tcPr>
          <w:p w14:paraId="7E016FFF">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1B7B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02F9712F">
            <w:pPr>
              <w:keepNext w:val="0"/>
              <w:keepLines w:val="0"/>
              <w:suppressLineNumbers w:val="0"/>
              <w:wordWrap w:val="0"/>
              <w:adjustRightInd w:val="0"/>
              <w:snapToGrid w:val="0"/>
              <w:spacing w:before="0" w:beforeAutospacing="0" w:after="0" w:afterAutospacing="0" w:line="360" w:lineRule="auto"/>
              <w:ind w:left="69" w:leftChars="0" w:right="0"/>
              <w:jc w:val="center"/>
              <w:rPr>
                <w:rFonts w:hint="default"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1-</w:t>
            </w:r>
            <w:r>
              <w:rPr>
                <w:rFonts w:hint="eastAsia" w:asciiTheme="majorEastAsia" w:hAnsiTheme="majorEastAsia" w:eastAsiaTheme="majorEastAsia" w:cstheme="majorEastAsia"/>
                <w:color w:val="auto"/>
                <w:sz w:val="24"/>
                <w:szCs w:val="24"/>
                <w:highlight w:val="none"/>
                <w:lang w:val="en-US" w:eastAsia="zh-CN"/>
              </w:rPr>
              <w:t>8</w:t>
            </w:r>
          </w:p>
        </w:tc>
        <w:tc>
          <w:tcPr>
            <w:tcW w:w="6838" w:type="dxa"/>
            <w:noWrap w:val="0"/>
            <w:vAlign w:val="center"/>
          </w:tcPr>
          <w:p w14:paraId="652F162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1、“五星尼龙脚”五星脚参照:GB/T3325-2017《金属家具通用技术条件》QB/T3832-1999《轻工产品金属镀层腐蚀试验结果的评价》GB/T10125-2021《人造气氛腐蚀试验盐雾试验》QB/T3827-1999《轻工产品金属镀层和化学处理层的耐腐蚀试验方法乙酸盐雾试验(ASS)法》。盐雾试验：铜加速乙酸盐雾（连续喷雾≥24小时）：涂层本身的耐腐蚀等级和涂层对基体的保护等级均达到10级。金属表面耐腐蚀：乙酸盐雾(连续喷雾18小时)涂层本身的耐腐蚀等级和涂层对基体的保护等级均达到10级。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64749F40">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2</w:t>
            </w:r>
          </w:p>
        </w:tc>
      </w:tr>
      <w:tr w14:paraId="56D5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453F9DB0">
            <w:pPr>
              <w:keepNext w:val="0"/>
              <w:keepLines w:val="0"/>
              <w:suppressLineNumbers w:val="0"/>
              <w:wordWrap w:val="0"/>
              <w:adjustRightInd w:val="0"/>
              <w:snapToGrid w:val="0"/>
              <w:spacing w:before="0" w:beforeAutospacing="0" w:after="0" w:afterAutospacing="0" w:line="360" w:lineRule="auto"/>
              <w:ind w:left="69" w:leftChars="0" w:right="0"/>
              <w:jc w:val="center"/>
              <w:rPr>
                <w:rFonts w:hint="default"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rPr>
              <w:t>1-</w:t>
            </w:r>
            <w:r>
              <w:rPr>
                <w:rFonts w:hint="eastAsia" w:asciiTheme="majorEastAsia" w:hAnsiTheme="majorEastAsia" w:eastAsiaTheme="majorEastAsia" w:cstheme="majorEastAsia"/>
                <w:color w:val="auto"/>
                <w:sz w:val="24"/>
                <w:szCs w:val="24"/>
                <w:highlight w:val="none"/>
                <w:lang w:val="en-US" w:eastAsia="zh-CN"/>
              </w:rPr>
              <w:t>9</w:t>
            </w:r>
          </w:p>
        </w:tc>
        <w:tc>
          <w:tcPr>
            <w:tcW w:w="6838" w:type="dxa"/>
            <w:noWrap w:val="0"/>
            <w:vAlign w:val="center"/>
          </w:tcPr>
          <w:p w14:paraId="0E428349">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根据投标人提供的以下检测或检验报告进行评价：1、“面漆”检测依据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GB 18581-2020《木器涂料中有害物质限量》、HJ 2537-2014《环境标志产品技术要求水性涂料》、GB/T 23999-2009《室内装饰装修用水性木器涂料》标准；VOC含量≤4g/L、甲醛含量、乙二醇醚及醚醋总和含量、苯系物总和含量、烷基酚聚氧乙烯醚总和含量、可溶性（镉、铬、汞）均未检出。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7F2E1593">
            <w:pPr>
              <w:pStyle w:val="19"/>
              <w:keepNext w:val="0"/>
              <w:keepLines w:val="0"/>
              <w:suppressLineNumbers w:val="0"/>
              <w:wordWrap w:val="0"/>
              <w:snapToGrid w:val="0"/>
              <w:spacing w:before="0" w:beforeAutospacing="0" w:after="0" w:afterAutospacing="0" w:line="360" w:lineRule="auto"/>
              <w:ind w:left="0" w:right="0"/>
              <w:jc w:val="center"/>
              <w:rPr>
                <w:rFonts w:hint="default" w:asciiTheme="majorEastAsia" w:hAnsiTheme="majorEastAsia" w:eastAsiaTheme="majorEastAsia" w:cstheme="majorEastAsia"/>
                <w:color w:val="auto"/>
                <w:kern w:val="2"/>
                <w:sz w:val="24"/>
                <w:szCs w:val="24"/>
                <w:highlight w:val="none"/>
                <w:lang w:eastAsia="zh-CN"/>
              </w:rPr>
            </w:pPr>
            <w:r>
              <w:rPr>
                <w:rFonts w:hint="eastAsia" w:asciiTheme="majorEastAsia" w:hAnsiTheme="majorEastAsia" w:eastAsiaTheme="majorEastAsia" w:cstheme="majorEastAsia"/>
                <w:color w:val="auto"/>
                <w:sz w:val="24"/>
                <w:szCs w:val="24"/>
                <w:highlight w:val="none"/>
                <w:lang w:val="en-US" w:eastAsia="zh-CN"/>
              </w:rPr>
              <w:t>2</w:t>
            </w:r>
          </w:p>
        </w:tc>
      </w:tr>
      <w:tr w14:paraId="4DA7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38A66DDB">
            <w:pPr>
              <w:keepNext w:val="0"/>
              <w:keepLines w:val="0"/>
              <w:suppressLineNumbers w:val="0"/>
              <w:wordWrap w:val="0"/>
              <w:adjustRightInd w:val="0"/>
              <w:snapToGrid w:val="0"/>
              <w:spacing w:before="0" w:beforeAutospacing="0" w:after="0" w:afterAutospacing="0" w:line="360" w:lineRule="auto"/>
              <w:ind w:left="69" w:leftChars="0" w:right="0"/>
              <w:jc w:val="center"/>
              <w:rPr>
                <w:rFonts w:hint="default"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rPr>
              <w:t>1-</w:t>
            </w:r>
            <w:r>
              <w:rPr>
                <w:rFonts w:hint="eastAsia" w:asciiTheme="majorEastAsia" w:hAnsiTheme="majorEastAsia" w:eastAsiaTheme="majorEastAsia" w:cstheme="majorEastAsia"/>
                <w:color w:val="auto"/>
                <w:sz w:val="24"/>
                <w:szCs w:val="24"/>
                <w:highlight w:val="none"/>
                <w:lang w:val="en-US" w:eastAsia="zh-CN"/>
              </w:rPr>
              <w:t>10</w:t>
            </w:r>
          </w:p>
        </w:tc>
        <w:tc>
          <w:tcPr>
            <w:tcW w:w="6838" w:type="dxa"/>
            <w:shd w:val="clear" w:color="auto" w:fill="auto"/>
            <w:noWrap w:val="0"/>
            <w:vAlign w:val="center"/>
          </w:tcPr>
          <w:p w14:paraId="003AECFF">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根据投标人提供的以下检测或检验报告进行评价： 1、“底漆”检测依据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GB 18581-2020《木器涂料中有害物质限量》、HJ 2537-2014《环境标志产品技术要求水性涂料》、GB/T 23999-2009《室内装饰装修用水性木器涂料》标准；VOC含量、甲醛含量、乙二醇醚及醚醋总和含量、苯系物总和含量、烷基酚聚氧乙烯醚总和含量可溶性（镉、铬、汞）均未检出。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54328DE3">
            <w:pPr>
              <w:pStyle w:val="19"/>
              <w:keepNext w:val="0"/>
              <w:keepLines w:val="0"/>
              <w:suppressLineNumbers w:val="0"/>
              <w:wordWrap w:val="0"/>
              <w:snapToGrid w:val="0"/>
              <w:spacing w:before="0" w:beforeAutospacing="0" w:after="0" w:afterAutospacing="0" w:line="360" w:lineRule="auto"/>
              <w:ind w:left="0" w:right="0"/>
              <w:jc w:val="center"/>
              <w:rPr>
                <w:rFonts w:hint="default" w:asciiTheme="majorEastAsia" w:hAnsiTheme="majorEastAsia" w:eastAsiaTheme="majorEastAsia" w:cstheme="majorEastAsia"/>
                <w:color w:val="auto"/>
                <w:kern w:val="2"/>
                <w:sz w:val="24"/>
                <w:szCs w:val="24"/>
                <w:highlight w:val="none"/>
                <w:lang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65BDB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188C3D37">
            <w:pPr>
              <w:keepNext w:val="0"/>
              <w:keepLines w:val="0"/>
              <w:suppressLineNumbers w:val="0"/>
              <w:spacing w:before="0" w:beforeAutospacing="0" w:after="0" w:afterAutospacing="0" w:line="360" w:lineRule="auto"/>
              <w:ind w:left="0" w:right="0"/>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lang w:val="en-US" w:eastAsia="zh-CN"/>
              </w:rPr>
              <w:t>1-11</w:t>
            </w:r>
          </w:p>
        </w:tc>
        <w:tc>
          <w:tcPr>
            <w:tcW w:w="6838" w:type="dxa"/>
            <w:shd w:val="clear" w:color="auto" w:fill="auto"/>
            <w:noWrap w:val="0"/>
            <w:vAlign w:val="top"/>
          </w:tcPr>
          <w:p w14:paraId="169B6410">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根据投标人提供的以下检测或检验报告进行评价：1、“热熔胶”检测依据HJ 2541-2016《环境标志产品技术要求 胶黏剂》标准；苯、甲苯+乙苯+二甲苯、氯代烃、总发挥性有机物均未检出。投标人应提供经国家认可的检验（检测）机构出具的有效检验（检测）报告复印件（至少包含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596AA331">
            <w:pPr>
              <w:pStyle w:val="19"/>
              <w:keepNext w:val="0"/>
              <w:keepLines w:val="0"/>
              <w:suppressLineNumbers w:val="0"/>
              <w:wordWrap w:val="0"/>
              <w:snapToGrid w:val="0"/>
              <w:spacing w:before="0" w:beforeAutospacing="0" w:after="0" w:afterAutospacing="0" w:line="360" w:lineRule="auto"/>
              <w:ind w:left="0" w:right="0"/>
              <w:jc w:val="center"/>
              <w:rPr>
                <w:rFonts w:hint="default"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41096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65BF5C98">
            <w:pPr>
              <w:keepNext w:val="0"/>
              <w:keepLines w:val="0"/>
              <w:suppressLineNumbers w:val="0"/>
              <w:spacing w:before="0" w:beforeAutospacing="0" w:after="0" w:afterAutospacing="0" w:line="360" w:lineRule="auto"/>
              <w:ind w:left="0" w:right="0"/>
              <w:jc w:val="center"/>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1-12</w:t>
            </w:r>
          </w:p>
        </w:tc>
        <w:tc>
          <w:tcPr>
            <w:tcW w:w="6838" w:type="dxa"/>
            <w:shd w:val="clear" w:color="auto" w:fill="auto"/>
            <w:noWrap w:val="0"/>
            <w:vAlign w:val="center"/>
          </w:tcPr>
          <w:p w14:paraId="3D81D9D8">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bCs w:val="0"/>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根据投标人提供的以下检测或检验报告进行评价：1、“普通螺栓”</w:t>
            </w:r>
            <w:r>
              <w:rPr>
                <w:rFonts w:hint="eastAsia" w:asciiTheme="majorEastAsia" w:hAnsiTheme="majorEastAsia" w:eastAsiaTheme="majorEastAsia" w:cstheme="majorEastAsia"/>
                <w:color w:val="auto"/>
                <w:sz w:val="24"/>
                <w:szCs w:val="24"/>
                <w:highlight w:val="none"/>
                <w:lang w:val="en-US" w:eastAsia="zh-CN"/>
              </w:rPr>
              <w:t>检测</w:t>
            </w:r>
            <w:r>
              <w:rPr>
                <w:rFonts w:hint="eastAsia" w:asciiTheme="majorEastAsia" w:hAnsiTheme="majorEastAsia" w:eastAsiaTheme="majorEastAsia" w:cstheme="majorEastAsia"/>
                <w:color w:val="auto"/>
                <w:sz w:val="24"/>
                <w:szCs w:val="24"/>
                <w:highlight w:val="none"/>
              </w:rPr>
              <w:t>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GB/T 3098.1-2010 《紧固件机械性能 螺栓、螺钉和螺柱》标准满足：（1）洛氏硬度（1d,r/2内）/HRB检测结果符合要求；（2）实物抗拉强度Rm/MPa≥420，断裂发生在未旋合螺纹长度内检测结果符合要求</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238EDE91">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218E5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06DFF5DF">
            <w:pPr>
              <w:keepNext w:val="0"/>
              <w:keepLines w:val="0"/>
              <w:suppressLineNumbers w:val="0"/>
              <w:spacing w:before="0" w:beforeAutospacing="0" w:after="0" w:afterAutospacing="0" w:line="360" w:lineRule="auto"/>
              <w:ind w:left="0" w:right="0"/>
              <w:jc w:val="center"/>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1-13</w:t>
            </w:r>
          </w:p>
        </w:tc>
        <w:tc>
          <w:tcPr>
            <w:tcW w:w="6838" w:type="dxa"/>
            <w:shd w:val="clear" w:color="auto" w:fill="auto"/>
            <w:noWrap w:val="0"/>
            <w:vAlign w:val="center"/>
          </w:tcPr>
          <w:p w14:paraId="6F1714CF">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根据投标人提供的以下检测或检验报告进行评价：1、“板材”检测依据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HJ 2541-2016《环境标志产品技术要求 胶黏剂》标准；苯、甲苯+乙苯+二甲苯、氯代烃、总发挥性有机物均未检出。投标人应提供经国家认可的检验（检测）机构出具的有效检验（检测）报告复印件（至少包含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0A10B921">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2B07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F3E0209">
            <w:pPr>
              <w:keepNext w:val="0"/>
              <w:keepLines w:val="0"/>
              <w:suppressLineNumbers w:val="0"/>
              <w:spacing w:before="0" w:beforeAutospacing="0" w:after="0" w:afterAutospacing="0" w:line="360" w:lineRule="auto"/>
              <w:ind w:left="0" w:right="0"/>
              <w:jc w:val="center"/>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1-14</w:t>
            </w:r>
          </w:p>
        </w:tc>
        <w:tc>
          <w:tcPr>
            <w:tcW w:w="6838" w:type="dxa"/>
            <w:shd w:val="clear" w:color="auto" w:fill="auto"/>
            <w:noWrap w:val="0"/>
            <w:vAlign w:val="center"/>
          </w:tcPr>
          <w:p w14:paraId="53AE62F2">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根据投标人提供的以下检测或检验报告进行评价：1、“白乳胶” 检测依据：GB 18583-2008 《室内装饰装修材料 胶黏剂中有害物质限量》（水基型聚乙酸乙烯酯粘胶剂）；总挥发性有机物含量≤100g/L，游离甲醛≤0.1g/kg，苯≤0.2g/kg，甲苯+二甲苯≤10g/kg。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197D0DF2">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48EF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FCF5B38">
            <w:pPr>
              <w:keepNext w:val="0"/>
              <w:keepLines w:val="0"/>
              <w:suppressLineNumbers w:val="0"/>
              <w:spacing w:before="0" w:beforeAutospacing="0" w:after="0" w:afterAutospacing="0" w:line="360" w:lineRule="auto"/>
              <w:ind w:left="0" w:right="0"/>
              <w:jc w:val="center"/>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1-15</w:t>
            </w:r>
          </w:p>
        </w:tc>
        <w:tc>
          <w:tcPr>
            <w:tcW w:w="6838" w:type="dxa"/>
            <w:shd w:val="clear" w:color="auto" w:fill="auto"/>
            <w:noWrap w:val="0"/>
            <w:vAlign w:val="center"/>
          </w:tcPr>
          <w:p w14:paraId="3468A3F1">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根据投标人提供的以下检测或检验报告进行评价：1、“紧固件”</w:t>
            </w:r>
            <w:r>
              <w:rPr>
                <w:rFonts w:hint="eastAsia" w:asciiTheme="majorEastAsia" w:hAnsiTheme="majorEastAsia" w:eastAsiaTheme="majorEastAsia" w:cstheme="majorEastAsia"/>
                <w:color w:val="auto"/>
                <w:sz w:val="24"/>
                <w:szCs w:val="24"/>
                <w:highlight w:val="none"/>
                <w:lang w:val="en-US" w:eastAsia="zh-CN"/>
              </w:rPr>
              <w:t>检测</w:t>
            </w:r>
            <w:r>
              <w:rPr>
                <w:rFonts w:hint="eastAsia" w:asciiTheme="majorEastAsia" w:hAnsiTheme="majorEastAsia" w:eastAsiaTheme="majorEastAsia" w:cstheme="majorEastAsia"/>
                <w:color w:val="auto"/>
                <w:sz w:val="24"/>
                <w:szCs w:val="24"/>
                <w:highlight w:val="none"/>
              </w:rPr>
              <w:t>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QB/T3826-1999《轻工产品金属镀层和化学处理层的耐腐蚀试验方法 中性盐雾试验（NSS）法》、QB/T3832-1999《轻工产品金属镀层腐蚀试验结果的评价》标准检验满足：（1）中性盐雾试验：检测时间≥120小时；①涂（镀）层本身的耐腐蚀等级≥10级，②涂（镀）层对基体的保护等级≥10级；（2）品质属性：产品有害物质（家具涂层可迁元素）镉、铅、铬、汞、锑、钡、硒、砷八种可迁移元素，检测结果均要求：未检出。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40957DC6">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2"/>
                <w:sz w:val="24"/>
                <w:szCs w:val="24"/>
                <w:highlight w:val="none"/>
                <w:lang w:val="en-US" w:eastAsia="zh-CN"/>
              </w:rPr>
              <w:t>2</w:t>
            </w:r>
          </w:p>
        </w:tc>
      </w:tr>
      <w:tr w14:paraId="39439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7DED569">
            <w:pPr>
              <w:keepNext w:val="0"/>
              <w:keepLines w:val="0"/>
              <w:suppressLineNumbers w:val="0"/>
              <w:spacing w:before="0" w:beforeAutospacing="0" w:after="0" w:afterAutospacing="0" w:line="360" w:lineRule="auto"/>
              <w:ind w:left="0" w:right="0"/>
              <w:jc w:val="center"/>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1-16</w:t>
            </w:r>
          </w:p>
        </w:tc>
        <w:tc>
          <w:tcPr>
            <w:tcW w:w="6838" w:type="dxa"/>
            <w:shd w:val="clear" w:color="auto" w:fill="auto"/>
            <w:noWrap w:val="0"/>
            <w:vAlign w:val="center"/>
          </w:tcPr>
          <w:p w14:paraId="7E42094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根据投标人提供的以下检测或检验报告进行评价：1、“冷轧钢板”检测依据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GB/T 3325-2017《金属家具通用技术条件》、GB/T 10125-2021《人造气氛腐蚀试验 盐雾试验》、QB/T 3832-1999 《轻工产品金属镀层腐蚀试验结果的评价》、QB/T3827-1999《轻工产品金属镀层和化学处理层的耐腐蚀试验方法 乙酸盐雾试验 (ASS)法》；盐雾试验：铜加速乙酸盐雾（连续喷雾≥24小时）：涂层本身的耐腐蚀等级和涂层对基体的保护等级均达到10级。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4F27F617">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2"/>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12C27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5999E8B5">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1-17</w:t>
            </w:r>
          </w:p>
        </w:tc>
        <w:tc>
          <w:tcPr>
            <w:tcW w:w="6838" w:type="dxa"/>
            <w:shd w:val="clear" w:color="auto" w:fill="auto"/>
            <w:noWrap w:val="0"/>
            <w:vAlign w:val="center"/>
          </w:tcPr>
          <w:p w14:paraId="67C09896">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sz w:val="24"/>
                <w:szCs w:val="24"/>
                <w:highlight w:val="none"/>
              </w:rPr>
              <w:t>根据投标人提供的以下检测或检验报告进行评价：1、“防腐抗菌喷涂粉末”检测依据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HG/T 3950-2007(2017)《抗菌涂料》、GB/T 30647-2014《涂料中有害元素总含量的测定》、GB/T 23991-2009《涂料中可溶性有害元素含量的测定》；抗细菌性能：金黄色葡萄球菌≥60%、大肠埃希氏菌≥50%；总铅(P)含量≤2mg/kg，可溶性重金属含量：镉(Cd)含量≤0.5mg/kg、铬(Cr)含量≤1mg/kg、汞(Hg)含量≤1mg/kg。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2F181AAB">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3D90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068080EF">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1-18</w:t>
            </w:r>
          </w:p>
        </w:tc>
        <w:tc>
          <w:tcPr>
            <w:tcW w:w="6838" w:type="dxa"/>
            <w:shd w:val="clear" w:color="auto" w:fill="auto"/>
            <w:noWrap w:val="0"/>
            <w:vAlign w:val="center"/>
          </w:tcPr>
          <w:p w14:paraId="1A306F43">
            <w:pPr>
              <w:keepNext w:val="0"/>
              <w:keepLines w:val="0"/>
              <w:suppressLineNumbers w:val="0"/>
              <w:spacing w:before="0" w:beforeAutospacing="0" w:after="0" w:afterAutospacing="0" w:line="360" w:lineRule="auto"/>
              <w:ind w:left="0" w:right="0"/>
              <w:rPr>
                <w:rFonts w:hint="default" w:asciiTheme="majorEastAsia" w:hAnsiTheme="majorEastAsia" w:eastAsiaTheme="majorEastAsia" w:cstheme="majorEastAsia"/>
                <w:b w:val="0"/>
                <w:bCs w:val="0"/>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rPr>
              <w:t>根据投标人提供的以下检测或检验报告进行评价：1、“普通螺母”检测依据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GB/T 3098.2-2015 《紧固件机械性能 螺母》标准满足（1）保证载荷的检测结果符合要求；（2）洛氏硬度（支承面）的检测结果符合要求</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270E1B28">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45B4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5D6A972A">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1-19</w:t>
            </w:r>
          </w:p>
        </w:tc>
        <w:tc>
          <w:tcPr>
            <w:tcW w:w="6838" w:type="dxa"/>
            <w:shd w:val="clear" w:color="auto" w:fill="auto"/>
            <w:noWrap w:val="0"/>
            <w:vAlign w:val="center"/>
          </w:tcPr>
          <w:p w14:paraId="36052A94">
            <w:pPr>
              <w:keepNext w:val="0"/>
              <w:keepLines w:val="0"/>
              <w:widowControl/>
              <w:suppressLineNumbers w:val="0"/>
              <w:tabs>
                <w:tab w:val="left" w:pos="724"/>
              </w:tabs>
              <w:adjustRightInd w:val="0"/>
              <w:snapToGrid w:val="0"/>
              <w:spacing w:before="0" w:beforeAutospacing="0" w:after="0" w:afterAutospacing="0" w:line="360" w:lineRule="auto"/>
              <w:ind w:left="0" w:right="0"/>
              <w:jc w:val="left"/>
              <w:textAlignment w:val="center"/>
              <w:rPr>
                <w:rFonts w:hint="default"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 1、“五金件静音缓冲门铰” 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QB/T 2189-2013《家具五金杯状暗铰链》、GB/T 10125-2021《人造气氛腐蚀试验盐雾试验》、QB/T 3828-1999《轻工产品金属镀层和化学处理层的耐腐蚀试验方法铜盐加速乙酸盐雾试验(CASS)法》、GB T6461-2002《金属基体上金属和其他无机覆盖层 经腐蚀试验后的试样和试件的评级》标准；耐久性：30万次，功能无损坏；铜加速乙酸盐雾试验（CASS）：连续喷雾100H，保护评级、外观评级均达到10级；乙酸盐雾试验（AASS）：连续喷雾100H，保护评级、外观评级均达到10级。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5122B085">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6F05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633493F">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1-20</w:t>
            </w:r>
          </w:p>
        </w:tc>
        <w:tc>
          <w:tcPr>
            <w:tcW w:w="6838" w:type="dxa"/>
            <w:shd w:val="clear" w:color="auto" w:fill="auto"/>
            <w:noWrap w:val="0"/>
            <w:vAlign w:val="center"/>
          </w:tcPr>
          <w:p w14:paraId="4AABC94D">
            <w:pPr>
              <w:keepNext w:val="0"/>
              <w:keepLines w:val="0"/>
              <w:widowControl/>
              <w:suppressLineNumbers w:val="0"/>
              <w:tabs>
                <w:tab w:val="left" w:pos="724"/>
              </w:tabs>
              <w:adjustRightInd w:val="0"/>
              <w:snapToGrid w:val="0"/>
              <w:spacing w:before="0" w:beforeAutospacing="0" w:after="0" w:afterAutospacing="0" w:line="360" w:lineRule="auto"/>
              <w:ind w:left="0" w:right="0"/>
              <w:jc w:val="left"/>
              <w:textAlignment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 1、“长条凳西皮”检测依据：GB/T 16799-2018 《家具用皮革》、GB 20400-2006《皮革和毛皮有害物质限量》；游离甲醛、 禁用偶氮染料、挥发性有机物（VOC）检测数值未检出。投标人应提供经国家认可的检验（检测）机构出具的有效检验（检测）报告复印件（至少包含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160A6012">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25F3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3DE22379">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1-21</w:t>
            </w:r>
          </w:p>
        </w:tc>
        <w:tc>
          <w:tcPr>
            <w:tcW w:w="6838" w:type="dxa"/>
            <w:shd w:val="clear" w:color="auto" w:fill="auto"/>
            <w:noWrap w:val="0"/>
            <w:vAlign w:val="center"/>
          </w:tcPr>
          <w:p w14:paraId="14AD68DF">
            <w:pPr>
              <w:keepNext w:val="0"/>
              <w:keepLines w:val="0"/>
              <w:widowControl/>
              <w:suppressLineNumbers w:val="0"/>
              <w:tabs>
                <w:tab w:val="left" w:pos="724"/>
              </w:tabs>
              <w:adjustRightInd w:val="0"/>
              <w:snapToGrid w:val="0"/>
              <w:spacing w:before="0" w:beforeAutospacing="0" w:after="0" w:afterAutospacing="0" w:line="360" w:lineRule="auto"/>
              <w:ind w:left="0" w:right="0"/>
              <w:jc w:val="left"/>
              <w:textAlignment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根据投标人提供的以下检测或检验报告进行评价：1、“门帘”检测依据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喷墨打印，喷墨水符合镉（Cd）≤10mg/kg、铅（Pb）≤10mg/kg、汞（Hg）≤10mg/kg、邻苯二甲酸二丁酯（DBP）≤100mg/kg、邻苯二甲酸二异丁酯（DIBP）≤100mg/kg。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4A83BCA2">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1E14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30B4B514">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1-22</w:t>
            </w:r>
          </w:p>
        </w:tc>
        <w:tc>
          <w:tcPr>
            <w:tcW w:w="6838" w:type="dxa"/>
            <w:shd w:val="clear" w:color="auto" w:fill="auto"/>
            <w:noWrap w:val="0"/>
            <w:vAlign w:val="center"/>
          </w:tcPr>
          <w:p w14:paraId="33AD06EA">
            <w:pPr>
              <w:keepNext w:val="0"/>
              <w:keepLines w:val="0"/>
              <w:widowControl/>
              <w:suppressLineNumbers w:val="0"/>
              <w:tabs>
                <w:tab w:val="left" w:pos="724"/>
              </w:tabs>
              <w:adjustRightInd w:val="0"/>
              <w:snapToGrid w:val="0"/>
              <w:spacing w:before="0" w:beforeAutospacing="0" w:after="0" w:afterAutospacing="0" w:line="360" w:lineRule="auto"/>
              <w:ind w:left="0" w:right="0"/>
              <w:jc w:val="left"/>
              <w:textAlignment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根据投标人提供的以下检测或检验报告进行评价：1、“五金配件三合一连接件”检测依据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GB/T 28203-2011《家具用连接件技术要求及试验方法》、GB/T 10125-2021《人造气氛腐蚀试验盐雾试验》、QB/T 3828-1999《轻工产品金属镀层和化学处理层的耐腐蚀试验方法铜盐加速乙酸盐雾试验(CASS)法》、GB/T 6461-2002《金属基体上金属和其他无机覆盖层经腐蚀试验后的试样和试件的评级》标准；三合一偏心连接件偏心体抗压强度≥310N，三合一偏心连接件预埋螺母抗拉强度≥600N，三合一偏心连接件中连接螺杆螺纹与预埋螺母的抗拉强度≥800N；铜加速乙酸盐雾试验（CASS）：连续喷雾100H，保护评级、外观评级均达到10级；乙酸盐雾试验（AASS）：连续喷雾100H，保护评级、外观评级均达到10级。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655B1AC5">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4230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67BF0FD2">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1-23</w:t>
            </w:r>
          </w:p>
        </w:tc>
        <w:tc>
          <w:tcPr>
            <w:tcW w:w="6838" w:type="dxa"/>
            <w:shd w:val="clear" w:color="auto" w:fill="auto"/>
            <w:noWrap w:val="0"/>
            <w:vAlign w:val="center"/>
          </w:tcPr>
          <w:p w14:paraId="14D496A1">
            <w:pPr>
              <w:keepNext w:val="0"/>
              <w:keepLines w:val="0"/>
              <w:widowControl/>
              <w:suppressLineNumbers w:val="0"/>
              <w:tabs>
                <w:tab w:val="left" w:pos="724"/>
              </w:tabs>
              <w:adjustRightInd w:val="0"/>
              <w:snapToGrid w:val="0"/>
              <w:spacing w:before="0" w:beforeAutospacing="0" w:after="0" w:afterAutospacing="0" w:line="360" w:lineRule="auto"/>
              <w:ind w:left="0" w:right="0"/>
              <w:jc w:val="left"/>
              <w:textAlignment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根据投标人提供的以下检测或检验报告进行评价：1、 “软包坐垫海绵”检测依据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GB/T 6343-2009《泡沫塑料及橡胶 表观密度的测定》；GB/T 10802-2006《通用软质聚醚型聚氨酯泡沫塑料》；QB/T2280-2016《办公家具一办公椅》:GB 17927.1-2011《软体家具床垫和沙发抗引燃特性的评定第1部分:阴燃的香烟》；GB18587-2001《室内装饰装修材料地毯地毯衬垫及地毯胶粘剂有害物质释放限量》25%压限硬度198±18N、拉伸强度≥100kPa、伸长率≥100%，总发挥有机化合物(TVOC)≤0.5mg/m，甲醛≤0.120mg/m。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2798CA65">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67A7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17F12EA9">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1-24</w:t>
            </w:r>
          </w:p>
        </w:tc>
        <w:tc>
          <w:tcPr>
            <w:tcW w:w="6838" w:type="dxa"/>
            <w:shd w:val="clear" w:color="auto" w:fill="auto"/>
            <w:noWrap w:val="0"/>
            <w:vAlign w:val="center"/>
          </w:tcPr>
          <w:p w14:paraId="291A349D">
            <w:pPr>
              <w:keepNext w:val="0"/>
              <w:keepLines w:val="0"/>
              <w:widowControl/>
              <w:suppressLineNumbers w:val="0"/>
              <w:tabs>
                <w:tab w:val="left" w:pos="724"/>
              </w:tabs>
              <w:adjustRightInd w:val="0"/>
              <w:snapToGrid w:val="0"/>
              <w:spacing w:before="0" w:beforeAutospacing="0" w:after="0" w:afterAutospacing="0" w:line="360" w:lineRule="auto"/>
              <w:ind w:left="0" w:right="0"/>
              <w:jc w:val="left"/>
              <w:textAlignment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w:t>
            </w:r>
            <w:r>
              <w:rPr>
                <w:rFonts w:hint="eastAsia" w:asciiTheme="majorEastAsia" w:hAnsiTheme="majorEastAsia" w:eastAsiaTheme="majorEastAsia" w:cstheme="majorEastAsia"/>
                <w:color w:val="auto"/>
                <w:sz w:val="24"/>
                <w:szCs w:val="24"/>
                <w:highlight w:val="none"/>
                <w:lang w:val="en-US" w:eastAsia="zh-CN"/>
              </w:rPr>
              <w:t>1</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lang w:val="en-US" w:eastAsia="zh-CN"/>
              </w:rPr>
              <w:t>铸铝件</w:t>
            </w:r>
            <w:r>
              <w:rPr>
                <w:rFonts w:hint="eastAsia" w:asciiTheme="majorEastAsia" w:hAnsiTheme="majorEastAsia" w:eastAsiaTheme="majorEastAsia" w:cstheme="majorEastAsia"/>
                <w:color w:val="auto"/>
                <w:sz w:val="24"/>
                <w:szCs w:val="24"/>
                <w:highlight w:val="none"/>
              </w:rPr>
              <w:t>”检测依据</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GB/T 10125-2012人造气氛腐蚀试验盐雾试验 GB/T 6461-2002金属基体上金属和其他无机覆盖层经腐蚀试验后的试样和试件的评级：盐雾试验：盐雾试验：不小于72h中性盐雾试验 检测结果：10级。投标人应提供经国家认可的检验（检测）机构出具的有效检验（检测）报告复印件（至少包含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完全满足以上要求的得2分，否则不得分。</w:t>
            </w:r>
          </w:p>
        </w:tc>
        <w:tc>
          <w:tcPr>
            <w:tcW w:w="898" w:type="dxa"/>
            <w:noWrap w:val="0"/>
            <w:vAlign w:val="center"/>
          </w:tcPr>
          <w:p w14:paraId="3FF7AE3D">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14AA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8DA05FA">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1-25</w:t>
            </w:r>
          </w:p>
        </w:tc>
        <w:tc>
          <w:tcPr>
            <w:tcW w:w="6838" w:type="dxa"/>
            <w:shd w:val="clear" w:color="auto" w:fill="auto"/>
            <w:noWrap w:val="0"/>
            <w:vAlign w:val="center"/>
          </w:tcPr>
          <w:p w14:paraId="546612E1">
            <w:pPr>
              <w:keepNext w:val="0"/>
              <w:keepLines w:val="0"/>
              <w:widowControl/>
              <w:suppressLineNumbers w:val="0"/>
              <w:tabs>
                <w:tab w:val="left" w:pos="724"/>
              </w:tabs>
              <w:adjustRightInd w:val="0"/>
              <w:snapToGrid w:val="0"/>
              <w:spacing w:before="0" w:beforeAutospacing="0" w:after="0" w:afterAutospacing="0" w:line="360" w:lineRule="auto"/>
              <w:ind w:left="0" w:right="0"/>
              <w:jc w:val="left"/>
              <w:textAlignment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根据投标人提供的以下检测或检验报告进行评价：</w:t>
            </w:r>
            <w:r>
              <w:rPr>
                <w:rFonts w:hint="eastAsia" w:asciiTheme="majorEastAsia" w:hAnsiTheme="majorEastAsia" w:eastAsiaTheme="majorEastAsia" w:cstheme="majorEastAsia"/>
                <w:color w:val="auto"/>
                <w:sz w:val="24"/>
                <w:szCs w:val="24"/>
                <w:highlight w:val="none"/>
                <w:lang w:val="en-US" w:eastAsia="zh-CN"/>
              </w:rPr>
              <w:t>1</w:t>
            </w:r>
            <w:r>
              <w:rPr>
                <w:rFonts w:hint="eastAsia" w:asciiTheme="majorEastAsia" w:hAnsiTheme="majorEastAsia" w:eastAsiaTheme="majorEastAsia" w:cstheme="majorEastAsia"/>
                <w:color w:val="auto"/>
                <w:sz w:val="24"/>
                <w:szCs w:val="24"/>
                <w:highlight w:val="none"/>
              </w:rPr>
              <w:t>、“尼龙网布</w:t>
            </w:r>
            <w:r>
              <w:rPr>
                <w:rFonts w:hint="eastAsia" w:asciiTheme="majorEastAsia" w:hAnsiTheme="majorEastAsia" w:eastAsiaTheme="majorEastAsia" w:cstheme="majorEastAsia"/>
                <w:color w:val="auto"/>
                <w:sz w:val="24"/>
                <w:szCs w:val="24"/>
                <w:highlight w:val="none"/>
                <w:lang w:val="en-US" w:eastAsia="zh-CN"/>
              </w:rPr>
              <w:t>”采用优质尼龙网布，GB18401-2010《国家纺织产品基本安全技术规范》参照:GB17927.1-2011《软体家具床垫和沙发抗引燃特性的评定 第1部分:阴燃的香烟》。甲醛含量、可分解致癌芳香胺染料均未检出，通过香烟抗引燃特性试验，达到阻燃1级；4.7字扶手；5.2.5mm加厚底盘防爆托盘；</w:t>
            </w:r>
            <w:r>
              <w:rPr>
                <w:rFonts w:hint="eastAsia" w:asciiTheme="majorEastAsia" w:hAnsiTheme="majorEastAsia" w:eastAsiaTheme="majorEastAsia" w:cstheme="majorEastAsia"/>
                <w:color w:val="auto"/>
                <w:sz w:val="24"/>
                <w:szCs w:val="24"/>
                <w:highlight w:val="none"/>
              </w:rPr>
              <w:t>投标人应提供经国家认可的检验（检测）机构出具的有效检验（检测）报告复印件（至少包含 CMA）并盖有检测专用章（原件备查）</w:t>
            </w:r>
            <w:r>
              <w:rPr>
                <w:rFonts w:hint="eastAsia" w:asciiTheme="majorEastAsia" w:hAnsiTheme="majorEastAsia" w:eastAsiaTheme="majorEastAsia" w:cstheme="majorEastAsia"/>
                <w:color w:val="auto"/>
                <w:sz w:val="24"/>
                <w:szCs w:val="24"/>
                <w:highlight w:val="none"/>
                <w:lang w:val="en-US" w:eastAsia="zh-CN"/>
              </w:rPr>
              <w:t>,</w:t>
            </w:r>
            <w:r>
              <w:rPr>
                <w:rFonts w:hint="eastAsia" w:asciiTheme="majorEastAsia" w:hAnsiTheme="majorEastAsia" w:eastAsiaTheme="majorEastAsia" w:cstheme="majorEastAsia"/>
                <w:color w:val="auto"/>
                <w:sz w:val="24"/>
                <w:szCs w:val="24"/>
                <w:highlight w:val="none"/>
              </w:rPr>
              <w:t xml:space="preserve"> 完全满足以上要求的得</w:t>
            </w:r>
            <w:r>
              <w:rPr>
                <w:rFonts w:hint="eastAsia" w:asciiTheme="majorEastAsia" w:hAnsiTheme="majorEastAsia" w:eastAsiaTheme="majorEastAsia" w:cstheme="majorEastAsia"/>
                <w:color w:val="auto"/>
                <w:sz w:val="24"/>
                <w:szCs w:val="24"/>
                <w:highlight w:val="none"/>
                <w:lang w:val="en-US" w:eastAsia="zh-CN"/>
              </w:rPr>
              <w:t>1</w:t>
            </w:r>
            <w:r>
              <w:rPr>
                <w:rFonts w:hint="eastAsia" w:asciiTheme="majorEastAsia" w:hAnsiTheme="majorEastAsia" w:eastAsiaTheme="majorEastAsia" w:cstheme="majorEastAsia"/>
                <w:color w:val="auto"/>
                <w:sz w:val="24"/>
                <w:szCs w:val="24"/>
                <w:highlight w:val="none"/>
              </w:rPr>
              <w:t>分，否则不得分。</w:t>
            </w:r>
          </w:p>
        </w:tc>
        <w:tc>
          <w:tcPr>
            <w:tcW w:w="898" w:type="dxa"/>
            <w:noWrap w:val="0"/>
            <w:vAlign w:val="center"/>
          </w:tcPr>
          <w:p w14:paraId="7D3ECA65">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w:t>
            </w:r>
          </w:p>
        </w:tc>
      </w:tr>
      <w:tr w14:paraId="578D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2EC0AABE">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1-26</w:t>
            </w:r>
          </w:p>
        </w:tc>
        <w:tc>
          <w:tcPr>
            <w:tcW w:w="6838" w:type="dxa"/>
            <w:shd w:val="clear" w:color="auto" w:fill="auto"/>
            <w:noWrap w:val="0"/>
            <w:vAlign w:val="top"/>
          </w:tcPr>
          <w:p w14:paraId="2A1ED5C6">
            <w:pPr>
              <w:pStyle w:val="18"/>
              <w:keepNext w:val="0"/>
              <w:keepLines w:val="0"/>
              <w:widowControl/>
              <w:suppressLineNumbers w:val="0"/>
              <w:spacing w:before="0" w:beforeAutospacing="0" w:after="0" w:afterAutospacing="0" w:line="360" w:lineRule="auto"/>
              <w:ind w:left="0" w:right="0"/>
              <w:jc w:val="both"/>
              <w:rPr>
                <w:rFonts w:asciiTheme="majorEastAsia" w:hAnsiTheme="majorEastAsia" w:eastAsiaTheme="majorEastAsia" w:cstheme="majorEastAsia"/>
                <w:color w:val="auto"/>
                <w:kern w:val="2"/>
                <w:sz w:val="24"/>
                <w:szCs w:val="24"/>
                <w:highlight w:val="none"/>
                <w:lang w:eastAsia="zh-CN" w:bidi="ar-SA"/>
              </w:rPr>
            </w:pPr>
            <w:r>
              <w:rPr>
                <w:rFonts w:asciiTheme="majorEastAsia" w:hAnsiTheme="majorEastAsia" w:eastAsiaTheme="majorEastAsia" w:cstheme="majorEastAsia"/>
                <w:color w:val="auto"/>
                <w:kern w:val="2"/>
                <w:sz w:val="24"/>
                <w:szCs w:val="24"/>
                <w:highlight w:val="none"/>
                <w:lang w:eastAsia="zh-CN" w:bidi="ar-SA"/>
              </w:rPr>
              <w:t>样品暗标评审：根据各投标人所提供的</w:t>
            </w:r>
            <w:r>
              <w:rPr>
                <w:rFonts w:hint="eastAsia" w:asciiTheme="majorEastAsia" w:hAnsiTheme="majorEastAsia" w:eastAsiaTheme="majorEastAsia" w:cstheme="majorEastAsia"/>
                <w:color w:val="auto"/>
                <w:kern w:val="2"/>
                <w:sz w:val="24"/>
                <w:szCs w:val="24"/>
                <w:highlight w:val="none"/>
                <w:lang w:eastAsia="zh-CN" w:bidi="ar-SA"/>
              </w:rPr>
              <w:t>“一层家具”</w:t>
            </w:r>
            <w:r>
              <w:rPr>
                <w:rFonts w:hint="eastAsia" w:asciiTheme="majorEastAsia" w:hAnsiTheme="majorEastAsia" w:eastAsiaTheme="majorEastAsia" w:cstheme="majorEastAsia"/>
                <w:color w:val="auto"/>
                <w:kern w:val="2"/>
                <w:sz w:val="24"/>
                <w:szCs w:val="24"/>
                <w:highlight w:val="none"/>
                <w:lang w:val="en-US" w:eastAsia="zh-CN" w:bidi="ar-SA"/>
              </w:rPr>
              <w:t>中</w:t>
            </w:r>
            <w:r>
              <w:rPr>
                <w:rFonts w:asciiTheme="majorEastAsia" w:hAnsiTheme="majorEastAsia" w:eastAsiaTheme="majorEastAsia" w:cstheme="majorEastAsia"/>
                <w:color w:val="auto"/>
                <w:kern w:val="2"/>
                <w:sz w:val="24"/>
                <w:szCs w:val="24"/>
                <w:highlight w:val="none"/>
                <w:lang w:eastAsia="zh-CN" w:bidi="ar-SA"/>
              </w:rPr>
              <w:t>“</w:t>
            </w:r>
            <w:r>
              <w:rPr>
                <w:rFonts w:hint="eastAsia" w:asciiTheme="majorEastAsia" w:hAnsiTheme="majorEastAsia" w:eastAsiaTheme="majorEastAsia" w:cstheme="majorEastAsia"/>
                <w:color w:val="auto"/>
                <w:kern w:val="2"/>
                <w:sz w:val="24"/>
                <w:szCs w:val="24"/>
                <w:highlight w:val="none"/>
                <w:lang w:eastAsia="zh-CN" w:bidi="ar-SA"/>
              </w:rPr>
              <w:t>阅读背靠椅</w:t>
            </w:r>
            <w:r>
              <w:rPr>
                <w:rFonts w:asciiTheme="majorEastAsia" w:hAnsiTheme="majorEastAsia" w:eastAsiaTheme="majorEastAsia" w:cstheme="majorEastAsia"/>
                <w:color w:val="auto"/>
                <w:kern w:val="2"/>
                <w:sz w:val="24"/>
                <w:szCs w:val="24"/>
                <w:highlight w:val="none"/>
                <w:lang w:eastAsia="zh-CN" w:bidi="ar-SA"/>
              </w:rPr>
              <w:t>”样品的款式、外观、质量、工艺、舒适性、感观等进行评价： 1、规格样式完全满足附件《家具采购清单》要求</w:t>
            </w:r>
            <w:r>
              <w:rPr>
                <w:rFonts w:hint="eastAsia" w:asciiTheme="majorEastAsia" w:hAnsiTheme="majorEastAsia" w:eastAsiaTheme="majorEastAsia" w:cstheme="majorEastAsia"/>
                <w:color w:val="auto"/>
                <w:kern w:val="2"/>
                <w:sz w:val="24"/>
                <w:szCs w:val="24"/>
                <w:highlight w:val="none"/>
                <w:lang w:eastAsia="zh-CN" w:bidi="ar-SA"/>
              </w:rPr>
              <w:t>：450*530*凳面高450mm，实木软包背靠椅。</w:t>
            </w:r>
            <w:r>
              <w:rPr>
                <w:rFonts w:asciiTheme="majorEastAsia" w:hAnsiTheme="majorEastAsia" w:eastAsiaTheme="majorEastAsia" w:cstheme="majorEastAsia"/>
                <w:color w:val="auto"/>
                <w:kern w:val="2"/>
                <w:sz w:val="24"/>
                <w:szCs w:val="24"/>
                <w:highlight w:val="none"/>
                <w:lang w:eastAsia="zh-CN" w:bidi="ar-SA"/>
              </w:rPr>
              <w:t xml:space="preserve"> 2在1的基础上，2、样品牢固、平整细腻，线条均匀、不容易变形；塑料件材料贴面无明显透胶、脱胶、凹陷、压痕、鼓泡、胶迹。 完全满足得2分，部分满足得</w:t>
            </w:r>
            <w:r>
              <w:rPr>
                <w:rFonts w:hint="eastAsia" w:asciiTheme="majorEastAsia" w:hAnsiTheme="majorEastAsia" w:eastAsiaTheme="majorEastAsia" w:cstheme="majorEastAsia"/>
                <w:color w:val="auto"/>
                <w:kern w:val="2"/>
                <w:sz w:val="24"/>
                <w:szCs w:val="24"/>
                <w:highlight w:val="none"/>
                <w:lang w:eastAsia="zh-CN" w:bidi="ar-SA"/>
              </w:rPr>
              <w:t>1.</w:t>
            </w:r>
            <w:r>
              <w:rPr>
                <w:rFonts w:hint="eastAsia" w:asciiTheme="majorEastAsia" w:hAnsiTheme="majorEastAsia" w:eastAsiaTheme="majorEastAsia" w:cstheme="majorEastAsia"/>
                <w:color w:val="auto"/>
                <w:kern w:val="2"/>
                <w:sz w:val="24"/>
                <w:szCs w:val="24"/>
                <w:highlight w:val="none"/>
                <w:lang w:val="en-US" w:eastAsia="zh-CN" w:bidi="ar-SA"/>
              </w:rPr>
              <w:t>625</w:t>
            </w:r>
            <w:r>
              <w:rPr>
                <w:rFonts w:asciiTheme="majorEastAsia" w:hAnsiTheme="majorEastAsia" w:eastAsiaTheme="majorEastAsia" w:cstheme="majorEastAsia"/>
                <w:color w:val="auto"/>
                <w:kern w:val="2"/>
                <w:sz w:val="24"/>
                <w:szCs w:val="24"/>
                <w:highlight w:val="none"/>
                <w:lang w:eastAsia="zh-CN" w:bidi="ar-SA"/>
              </w:rPr>
              <w:t>分，否则不得分。</w:t>
            </w:r>
          </w:p>
        </w:tc>
        <w:tc>
          <w:tcPr>
            <w:tcW w:w="898" w:type="dxa"/>
            <w:noWrap w:val="0"/>
            <w:vAlign w:val="center"/>
          </w:tcPr>
          <w:p w14:paraId="4B025DE9">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7EB2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04AEC730">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1-27</w:t>
            </w:r>
          </w:p>
        </w:tc>
        <w:tc>
          <w:tcPr>
            <w:tcW w:w="6838" w:type="dxa"/>
            <w:shd w:val="clear" w:color="auto" w:fill="auto"/>
            <w:noWrap w:val="0"/>
            <w:vAlign w:val="top"/>
          </w:tcPr>
          <w:p w14:paraId="57AE364E">
            <w:pPr>
              <w:pStyle w:val="18"/>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color w:val="auto"/>
                <w:kern w:val="2"/>
                <w:sz w:val="20"/>
                <w:szCs w:val="20"/>
                <w:highlight w:val="none"/>
                <w:lang w:eastAsia="zh-CN" w:bidi="ar-SA"/>
              </w:rPr>
            </w:pPr>
            <w:r>
              <w:rPr>
                <w:rFonts w:asciiTheme="majorEastAsia" w:hAnsiTheme="majorEastAsia" w:eastAsiaTheme="majorEastAsia" w:cstheme="majorEastAsia"/>
                <w:color w:val="auto"/>
                <w:kern w:val="2"/>
                <w:sz w:val="24"/>
                <w:szCs w:val="24"/>
                <w:highlight w:val="none"/>
                <w:lang w:eastAsia="zh-CN" w:bidi="ar-SA"/>
              </w:rPr>
              <w:t>样品暗标评审：根据各投标人所提供的</w:t>
            </w:r>
            <w:r>
              <w:rPr>
                <w:rFonts w:hint="eastAsia" w:asciiTheme="majorEastAsia" w:hAnsiTheme="majorEastAsia" w:eastAsiaTheme="majorEastAsia" w:cstheme="majorEastAsia"/>
                <w:color w:val="auto"/>
                <w:kern w:val="2"/>
                <w:sz w:val="24"/>
                <w:szCs w:val="24"/>
                <w:highlight w:val="none"/>
                <w:lang w:eastAsia="zh-CN" w:bidi="ar-SA"/>
              </w:rPr>
              <w:t>“三层家具”</w:t>
            </w:r>
            <w:r>
              <w:rPr>
                <w:rFonts w:hint="eastAsia" w:asciiTheme="majorEastAsia" w:hAnsiTheme="majorEastAsia" w:eastAsiaTheme="majorEastAsia" w:cstheme="majorEastAsia"/>
                <w:color w:val="auto"/>
                <w:kern w:val="2"/>
                <w:sz w:val="24"/>
                <w:szCs w:val="24"/>
                <w:highlight w:val="none"/>
                <w:lang w:val="en-US" w:eastAsia="zh-CN" w:bidi="ar-SA"/>
              </w:rPr>
              <w:t>中</w:t>
            </w:r>
            <w:r>
              <w:rPr>
                <w:rFonts w:asciiTheme="majorEastAsia" w:hAnsiTheme="majorEastAsia" w:eastAsiaTheme="majorEastAsia" w:cstheme="majorEastAsia"/>
                <w:color w:val="auto"/>
                <w:kern w:val="2"/>
                <w:sz w:val="24"/>
                <w:szCs w:val="24"/>
                <w:highlight w:val="none"/>
                <w:lang w:eastAsia="zh-CN" w:bidi="ar-SA"/>
              </w:rPr>
              <w:t>“</w:t>
            </w:r>
            <w:r>
              <w:rPr>
                <w:rFonts w:hint="eastAsia" w:asciiTheme="majorEastAsia" w:hAnsiTheme="majorEastAsia" w:eastAsiaTheme="majorEastAsia" w:cstheme="majorEastAsia"/>
                <w:color w:val="auto"/>
                <w:kern w:val="2"/>
                <w:sz w:val="24"/>
                <w:szCs w:val="24"/>
                <w:highlight w:val="none"/>
                <w:lang w:eastAsia="zh-CN" w:bidi="ar-SA"/>
              </w:rPr>
              <w:t>太子椅</w:t>
            </w:r>
            <w:r>
              <w:rPr>
                <w:rFonts w:asciiTheme="majorEastAsia" w:hAnsiTheme="majorEastAsia" w:eastAsiaTheme="majorEastAsia" w:cstheme="majorEastAsia"/>
                <w:color w:val="auto"/>
                <w:kern w:val="2"/>
                <w:sz w:val="24"/>
                <w:szCs w:val="24"/>
                <w:highlight w:val="none"/>
                <w:lang w:eastAsia="zh-CN" w:bidi="ar-SA"/>
              </w:rPr>
              <w:t>”样品的款式、外观、质量、工艺、舒适性、感观等进行评价： 1、规格样式完全满足附件《家具采购清单》要求</w:t>
            </w:r>
            <w:r>
              <w:rPr>
                <w:rFonts w:hint="eastAsia" w:asciiTheme="majorEastAsia" w:hAnsiTheme="majorEastAsia" w:eastAsiaTheme="majorEastAsia" w:cstheme="majorEastAsia"/>
                <w:color w:val="auto"/>
                <w:kern w:val="2"/>
                <w:sz w:val="24"/>
                <w:szCs w:val="24"/>
                <w:highlight w:val="none"/>
                <w:lang w:eastAsia="zh-CN" w:bidi="ar-SA"/>
              </w:rPr>
              <w:t>：550*520*720mm，1.铝合金框架，不易生锈，耐磨耐刮。</w:t>
            </w:r>
          </w:p>
          <w:p w14:paraId="5410EFA5">
            <w:pPr>
              <w:pStyle w:val="18"/>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color w:val="auto"/>
                <w:kern w:val="2"/>
                <w:sz w:val="20"/>
                <w:szCs w:val="20"/>
                <w:highlight w:val="none"/>
                <w:lang w:eastAsia="zh-CN" w:bidi="ar-SA"/>
              </w:rPr>
            </w:pPr>
            <w:r>
              <w:rPr>
                <w:rFonts w:hint="eastAsia" w:asciiTheme="majorEastAsia" w:hAnsiTheme="majorEastAsia" w:eastAsiaTheme="majorEastAsia" w:cstheme="majorEastAsia"/>
                <w:color w:val="auto"/>
                <w:kern w:val="2"/>
                <w:sz w:val="24"/>
                <w:szCs w:val="24"/>
                <w:highlight w:val="none"/>
                <w:lang w:eastAsia="zh-CN" w:bidi="ar-SA"/>
              </w:rPr>
              <w:t>2.PE藤编座面。</w:t>
            </w:r>
          </w:p>
          <w:p w14:paraId="451EC5F1">
            <w:pPr>
              <w:pStyle w:val="18"/>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color w:val="auto"/>
                <w:kern w:val="2"/>
                <w:sz w:val="20"/>
                <w:szCs w:val="20"/>
                <w:highlight w:val="none"/>
                <w:lang w:eastAsia="zh-CN" w:bidi="ar-SA"/>
              </w:rPr>
            </w:pPr>
            <w:r>
              <w:rPr>
                <w:rFonts w:hint="eastAsia" w:asciiTheme="majorEastAsia" w:hAnsiTheme="majorEastAsia" w:eastAsiaTheme="majorEastAsia" w:cstheme="majorEastAsia"/>
                <w:color w:val="auto"/>
                <w:kern w:val="2"/>
                <w:sz w:val="24"/>
                <w:szCs w:val="24"/>
                <w:highlight w:val="none"/>
                <w:lang w:eastAsia="zh-CN" w:bidi="ar-SA"/>
              </w:rPr>
              <w:t>3.防水布料。</w:t>
            </w:r>
          </w:p>
          <w:p w14:paraId="5C7ABF7B">
            <w:pPr>
              <w:pStyle w:val="18"/>
              <w:keepNext w:val="0"/>
              <w:keepLines w:val="0"/>
              <w:widowControl/>
              <w:suppressLineNumbers w:val="0"/>
              <w:spacing w:before="0" w:beforeAutospacing="0" w:after="0" w:afterAutospacing="0" w:line="360" w:lineRule="auto"/>
              <w:ind w:left="0" w:right="0"/>
              <w:jc w:val="both"/>
              <w:rPr>
                <w:rFonts w:asciiTheme="majorEastAsia" w:hAnsiTheme="majorEastAsia" w:eastAsiaTheme="majorEastAsia" w:cstheme="majorEastAsia"/>
                <w:color w:val="auto"/>
                <w:kern w:val="2"/>
                <w:sz w:val="24"/>
                <w:szCs w:val="24"/>
                <w:highlight w:val="none"/>
                <w:lang w:eastAsia="zh-CN" w:bidi="ar-SA"/>
              </w:rPr>
            </w:pPr>
            <w:r>
              <w:rPr>
                <w:rFonts w:hint="eastAsia" w:asciiTheme="majorEastAsia" w:hAnsiTheme="majorEastAsia" w:eastAsiaTheme="majorEastAsia" w:cstheme="majorEastAsia"/>
                <w:color w:val="auto"/>
                <w:kern w:val="2"/>
                <w:sz w:val="24"/>
                <w:szCs w:val="24"/>
                <w:highlight w:val="none"/>
                <w:lang w:eastAsia="zh-CN" w:bidi="ar-SA"/>
              </w:rPr>
              <w:t>4.快干透水海绵。</w:t>
            </w:r>
            <w:r>
              <w:rPr>
                <w:rFonts w:asciiTheme="majorEastAsia" w:hAnsiTheme="majorEastAsia" w:eastAsiaTheme="majorEastAsia" w:cstheme="majorEastAsia"/>
                <w:color w:val="auto"/>
                <w:kern w:val="2"/>
                <w:sz w:val="24"/>
                <w:szCs w:val="24"/>
                <w:highlight w:val="none"/>
                <w:lang w:eastAsia="zh-CN" w:bidi="ar-SA"/>
              </w:rPr>
              <w:t xml:space="preserve"> 2在1的基础上， 2、样品牢固、平整细腻，线条均匀、不容易变形，塑料件材料贴面无明显透胶、脱胶、凹陷、压痕、鼓泡、胶迹。完全满足得2分，部分满足得</w:t>
            </w:r>
            <w:r>
              <w:rPr>
                <w:rFonts w:hint="eastAsia" w:asciiTheme="majorEastAsia" w:hAnsiTheme="majorEastAsia" w:eastAsiaTheme="majorEastAsia" w:cstheme="majorEastAsia"/>
                <w:color w:val="auto"/>
                <w:kern w:val="2"/>
                <w:sz w:val="24"/>
                <w:szCs w:val="24"/>
                <w:highlight w:val="none"/>
                <w:lang w:eastAsia="zh-CN" w:bidi="ar-SA"/>
              </w:rPr>
              <w:t>1.</w:t>
            </w:r>
            <w:r>
              <w:rPr>
                <w:rFonts w:hint="eastAsia" w:asciiTheme="majorEastAsia" w:hAnsiTheme="majorEastAsia" w:eastAsiaTheme="majorEastAsia" w:cstheme="majorEastAsia"/>
                <w:color w:val="auto"/>
                <w:kern w:val="2"/>
                <w:sz w:val="24"/>
                <w:szCs w:val="24"/>
                <w:highlight w:val="none"/>
                <w:lang w:val="en-US" w:eastAsia="zh-CN" w:bidi="ar-SA"/>
              </w:rPr>
              <w:t>625</w:t>
            </w:r>
            <w:r>
              <w:rPr>
                <w:rFonts w:asciiTheme="majorEastAsia" w:hAnsiTheme="majorEastAsia" w:eastAsiaTheme="majorEastAsia" w:cstheme="majorEastAsia"/>
                <w:color w:val="auto"/>
                <w:kern w:val="2"/>
                <w:sz w:val="24"/>
                <w:szCs w:val="24"/>
                <w:highlight w:val="none"/>
                <w:lang w:eastAsia="zh-CN" w:bidi="ar-SA"/>
              </w:rPr>
              <w:t>分，否则不得分。</w:t>
            </w:r>
          </w:p>
        </w:tc>
        <w:tc>
          <w:tcPr>
            <w:tcW w:w="898" w:type="dxa"/>
            <w:noWrap w:val="0"/>
            <w:vAlign w:val="center"/>
          </w:tcPr>
          <w:p w14:paraId="76A589C9">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tr w14:paraId="25ED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3" w:type="dxa"/>
            <w:noWrap w:val="0"/>
            <w:vAlign w:val="center"/>
          </w:tcPr>
          <w:p w14:paraId="4D6A68AB">
            <w:pPr>
              <w:keepNext w:val="0"/>
              <w:keepLines w:val="0"/>
              <w:suppressLineNumbers w:val="0"/>
              <w:wordWrap w:val="0"/>
              <w:adjustRightInd w:val="0"/>
              <w:snapToGrid w:val="0"/>
              <w:spacing w:before="0" w:beforeAutospacing="0" w:after="0" w:afterAutospacing="0" w:line="360" w:lineRule="auto"/>
              <w:ind w:left="69" w:leftChars="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1-28</w:t>
            </w:r>
          </w:p>
        </w:tc>
        <w:tc>
          <w:tcPr>
            <w:tcW w:w="6838" w:type="dxa"/>
            <w:shd w:val="clear" w:color="auto" w:fill="auto"/>
            <w:noWrap w:val="0"/>
            <w:vAlign w:val="top"/>
          </w:tcPr>
          <w:p w14:paraId="4D858C06">
            <w:pPr>
              <w:pStyle w:val="18"/>
              <w:keepNext w:val="0"/>
              <w:keepLines w:val="0"/>
              <w:widowControl/>
              <w:suppressLineNumbers w:val="0"/>
              <w:spacing w:before="0" w:beforeAutospacing="0" w:after="0" w:afterAutospacing="0" w:line="360" w:lineRule="auto"/>
              <w:ind w:left="0" w:right="0"/>
              <w:jc w:val="both"/>
              <w:rPr>
                <w:rFonts w:asciiTheme="majorEastAsia" w:hAnsiTheme="majorEastAsia" w:eastAsiaTheme="majorEastAsia" w:cstheme="majorEastAsia"/>
                <w:color w:val="auto"/>
                <w:kern w:val="2"/>
                <w:sz w:val="24"/>
                <w:szCs w:val="24"/>
                <w:highlight w:val="none"/>
                <w:lang w:eastAsia="zh-CN" w:bidi="ar-SA"/>
              </w:rPr>
            </w:pPr>
            <w:r>
              <w:rPr>
                <w:rFonts w:asciiTheme="majorEastAsia" w:hAnsiTheme="majorEastAsia" w:eastAsiaTheme="majorEastAsia" w:cstheme="majorEastAsia"/>
                <w:color w:val="auto"/>
                <w:kern w:val="2"/>
                <w:sz w:val="24"/>
                <w:szCs w:val="24"/>
                <w:highlight w:val="none"/>
                <w:lang w:eastAsia="zh-CN" w:bidi="ar-SA"/>
              </w:rPr>
              <w:t>样品暗标评审：根据各投标人所提供的</w:t>
            </w:r>
            <w:r>
              <w:rPr>
                <w:rFonts w:hint="eastAsia" w:asciiTheme="majorEastAsia" w:hAnsiTheme="majorEastAsia" w:eastAsiaTheme="majorEastAsia" w:cstheme="majorEastAsia"/>
                <w:color w:val="auto"/>
                <w:kern w:val="2"/>
                <w:sz w:val="24"/>
                <w:szCs w:val="24"/>
                <w:highlight w:val="none"/>
                <w:lang w:eastAsia="zh-CN" w:bidi="ar-SA"/>
              </w:rPr>
              <w:t>“四层家具”</w:t>
            </w:r>
            <w:r>
              <w:rPr>
                <w:rFonts w:hint="eastAsia" w:asciiTheme="majorEastAsia" w:hAnsiTheme="majorEastAsia" w:eastAsiaTheme="majorEastAsia" w:cstheme="majorEastAsia"/>
                <w:color w:val="auto"/>
                <w:kern w:val="2"/>
                <w:sz w:val="24"/>
                <w:szCs w:val="24"/>
                <w:highlight w:val="none"/>
                <w:lang w:val="en-US" w:eastAsia="zh-CN" w:bidi="ar-SA"/>
              </w:rPr>
              <w:t>中</w:t>
            </w:r>
            <w:r>
              <w:rPr>
                <w:rFonts w:asciiTheme="majorEastAsia" w:hAnsiTheme="majorEastAsia" w:eastAsiaTheme="majorEastAsia" w:cstheme="majorEastAsia"/>
                <w:color w:val="auto"/>
                <w:kern w:val="2"/>
                <w:sz w:val="24"/>
                <w:szCs w:val="24"/>
                <w:highlight w:val="none"/>
                <w:lang w:eastAsia="zh-CN" w:bidi="ar-SA"/>
              </w:rPr>
              <w:t>“</w:t>
            </w:r>
            <w:r>
              <w:rPr>
                <w:rFonts w:hint="eastAsia" w:asciiTheme="majorEastAsia" w:hAnsiTheme="majorEastAsia" w:eastAsiaTheme="majorEastAsia" w:cstheme="majorEastAsia"/>
                <w:color w:val="auto"/>
                <w:kern w:val="2"/>
                <w:sz w:val="24"/>
                <w:szCs w:val="24"/>
                <w:highlight w:val="none"/>
                <w:lang w:eastAsia="zh-CN" w:bidi="ar-SA"/>
              </w:rPr>
              <w:t>软包矮凳</w:t>
            </w:r>
            <w:r>
              <w:rPr>
                <w:rFonts w:asciiTheme="majorEastAsia" w:hAnsiTheme="majorEastAsia" w:eastAsiaTheme="majorEastAsia" w:cstheme="majorEastAsia"/>
                <w:color w:val="auto"/>
                <w:kern w:val="2"/>
                <w:sz w:val="24"/>
                <w:szCs w:val="24"/>
                <w:highlight w:val="none"/>
                <w:lang w:eastAsia="zh-CN" w:bidi="ar-SA"/>
              </w:rPr>
              <w:t>”样品的款式、外观、质量、工艺、舒适性、感观等进行评价： 1、规格样式完全满足附件《家具采购清单》要求</w:t>
            </w:r>
            <w:r>
              <w:rPr>
                <w:rFonts w:hint="eastAsia" w:asciiTheme="majorEastAsia" w:hAnsiTheme="majorEastAsia" w:eastAsiaTheme="majorEastAsia" w:cstheme="majorEastAsia"/>
                <w:color w:val="auto"/>
                <w:kern w:val="2"/>
                <w:sz w:val="24"/>
                <w:szCs w:val="24"/>
                <w:highlight w:val="none"/>
                <w:lang w:eastAsia="zh-CN" w:bidi="ar-SA"/>
              </w:rPr>
              <w:t>：对径40mm，高40mm，选用优质实木质地坚硬，黄金比例海绵配置，优质皮料，防水性好，耐磨耐用质感细腻。</w:t>
            </w:r>
            <w:r>
              <w:rPr>
                <w:rFonts w:asciiTheme="majorEastAsia" w:hAnsiTheme="majorEastAsia" w:eastAsiaTheme="majorEastAsia" w:cstheme="majorEastAsia"/>
                <w:color w:val="auto"/>
                <w:kern w:val="2"/>
                <w:sz w:val="24"/>
                <w:szCs w:val="24"/>
                <w:highlight w:val="none"/>
                <w:lang w:eastAsia="zh-CN" w:bidi="ar-SA"/>
              </w:rPr>
              <w:t xml:space="preserve"> 2在1的基础上， 2、样品牢固、平整细腻，线条均匀、不容易变形，塑料件材料贴面无明显透胶、脱胶、凹陷、压痕、鼓泡、胶迹。完全满足得2分，部分满足得</w:t>
            </w:r>
            <w:r>
              <w:rPr>
                <w:rFonts w:hint="eastAsia" w:asciiTheme="majorEastAsia" w:hAnsiTheme="majorEastAsia" w:eastAsiaTheme="majorEastAsia" w:cstheme="majorEastAsia"/>
                <w:color w:val="auto"/>
                <w:kern w:val="2"/>
                <w:sz w:val="24"/>
                <w:szCs w:val="24"/>
                <w:highlight w:val="none"/>
                <w:lang w:eastAsia="zh-CN" w:bidi="ar-SA"/>
              </w:rPr>
              <w:t>1.</w:t>
            </w:r>
            <w:r>
              <w:rPr>
                <w:rFonts w:hint="eastAsia" w:asciiTheme="majorEastAsia" w:hAnsiTheme="majorEastAsia" w:eastAsiaTheme="majorEastAsia" w:cstheme="majorEastAsia"/>
                <w:color w:val="auto"/>
                <w:kern w:val="2"/>
                <w:sz w:val="24"/>
                <w:szCs w:val="24"/>
                <w:highlight w:val="none"/>
                <w:lang w:val="en-US" w:eastAsia="zh-CN" w:bidi="ar-SA"/>
              </w:rPr>
              <w:t>625</w:t>
            </w:r>
            <w:r>
              <w:rPr>
                <w:rFonts w:asciiTheme="majorEastAsia" w:hAnsiTheme="majorEastAsia" w:eastAsiaTheme="majorEastAsia" w:cstheme="majorEastAsia"/>
                <w:color w:val="auto"/>
                <w:kern w:val="2"/>
                <w:sz w:val="24"/>
                <w:szCs w:val="24"/>
                <w:highlight w:val="none"/>
                <w:lang w:eastAsia="zh-CN" w:bidi="ar-SA"/>
              </w:rPr>
              <w:t>分，否则不得分。</w:t>
            </w:r>
          </w:p>
        </w:tc>
        <w:tc>
          <w:tcPr>
            <w:tcW w:w="898" w:type="dxa"/>
            <w:noWrap w:val="0"/>
            <w:vAlign w:val="center"/>
          </w:tcPr>
          <w:p w14:paraId="49A0A983">
            <w:pPr>
              <w:pStyle w:val="19"/>
              <w:keepNext w:val="0"/>
              <w:keepLines w:val="0"/>
              <w:suppressLineNumbers w:val="0"/>
              <w:wordWrap w:val="0"/>
              <w:snapToGrid w:val="0"/>
              <w:spacing w:before="0" w:beforeAutospacing="0" w:after="0" w:afterAutospacing="0" w:line="360" w:lineRule="auto"/>
              <w:ind w:left="0" w:right="0"/>
              <w:jc w:val="center"/>
              <w:rPr>
                <w:rFonts w:hint="eastAsia" w:asciiTheme="majorEastAsia" w:hAnsiTheme="majorEastAsia" w:eastAsiaTheme="majorEastAsia" w:cstheme="majorEastAsia"/>
                <w:color w:val="auto"/>
                <w:kern w:val="0"/>
                <w:sz w:val="24"/>
                <w:szCs w:val="24"/>
                <w:highlight w:val="none"/>
                <w:lang w:val="en-US" w:eastAsia="zh-CN"/>
              </w:rPr>
            </w:pPr>
            <w:r>
              <w:rPr>
                <w:rFonts w:hint="eastAsia" w:asciiTheme="majorEastAsia" w:hAnsiTheme="majorEastAsia" w:eastAsiaTheme="majorEastAsia" w:cstheme="majorEastAsia"/>
                <w:color w:val="auto"/>
                <w:kern w:val="0"/>
                <w:sz w:val="24"/>
                <w:szCs w:val="24"/>
                <w:highlight w:val="none"/>
                <w:lang w:val="en-US" w:eastAsia="zh-CN"/>
              </w:rPr>
              <w:t>2</w:t>
            </w:r>
          </w:p>
        </w:tc>
      </w:tr>
      <w:bookmarkEnd w:id="0"/>
    </w:tbl>
    <w:p w14:paraId="03E0935F">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3E7DB0C2">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2"/>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6838"/>
        <w:gridCol w:w="898"/>
      </w:tblGrid>
      <w:tr w14:paraId="1CF9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4F1A05AE">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auto"/>
                <w:sz w:val="24"/>
                <w:szCs w:val="24"/>
                <w:highlight w:val="none"/>
              </w:rPr>
            </w:pPr>
            <w:bookmarkStart w:id="1" w:name="_Toc9416"/>
            <w:r>
              <w:rPr>
                <w:rFonts w:hint="eastAsia" w:ascii="宋体" w:hAnsi="宋体" w:eastAsia="宋体" w:cs="宋体"/>
                <w:b/>
                <w:bCs/>
                <w:color w:val="auto"/>
                <w:sz w:val="24"/>
                <w:szCs w:val="24"/>
                <w:highlight w:val="none"/>
              </w:rPr>
              <w:t>序号</w:t>
            </w:r>
          </w:p>
        </w:tc>
        <w:tc>
          <w:tcPr>
            <w:tcW w:w="6838" w:type="dxa"/>
            <w:tcBorders>
              <w:top w:val="single" w:color="auto" w:sz="4" w:space="0"/>
              <w:left w:val="nil"/>
              <w:bottom w:val="single" w:color="auto" w:sz="4" w:space="0"/>
              <w:right w:val="single" w:color="auto" w:sz="4" w:space="0"/>
            </w:tcBorders>
            <w:noWrap w:val="0"/>
            <w:vAlign w:val="center"/>
          </w:tcPr>
          <w:p w14:paraId="551D8173">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tcBorders>
              <w:top w:val="single" w:color="auto" w:sz="4" w:space="0"/>
              <w:left w:val="nil"/>
              <w:bottom w:val="single" w:color="auto" w:sz="4" w:space="0"/>
              <w:right w:val="single" w:color="auto" w:sz="4" w:space="0"/>
            </w:tcBorders>
            <w:noWrap w:val="0"/>
            <w:vAlign w:val="center"/>
          </w:tcPr>
          <w:p w14:paraId="5BE8F6A3">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785B3903">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54E2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520C9F5E">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838" w:type="dxa"/>
            <w:tcBorders>
              <w:top w:val="single" w:color="auto" w:sz="4" w:space="0"/>
              <w:left w:val="nil"/>
              <w:bottom w:val="single" w:color="auto" w:sz="4" w:space="0"/>
              <w:right w:val="single" w:color="auto" w:sz="4" w:space="0"/>
            </w:tcBorders>
            <w:noWrap w:val="0"/>
            <w:vAlign w:val="top"/>
          </w:tcPr>
          <w:p w14:paraId="425E23F8">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投标人</w:t>
            </w:r>
            <w:r>
              <w:rPr>
                <w:rFonts w:hint="eastAsia" w:ascii="宋体" w:hAnsi="宋体" w:eastAsia="宋体" w:cs="宋体"/>
                <w:color w:val="auto"/>
                <w:kern w:val="2"/>
                <w:sz w:val="24"/>
                <w:szCs w:val="24"/>
                <w:highlight w:val="none"/>
                <w:lang w:val="en-US" w:eastAsia="zh-CN" w:bidi="ar-SA"/>
              </w:rPr>
              <w:t>或产品制造商</w:t>
            </w:r>
            <w:r>
              <w:rPr>
                <w:rFonts w:ascii="宋体" w:hAnsi="宋体" w:eastAsia="宋体" w:cs="宋体"/>
                <w:color w:val="auto"/>
                <w:kern w:val="2"/>
                <w:sz w:val="24"/>
                <w:szCs w:val="24"/>
                <w:highlight w:val="none"/>
                <w:lang w:eastAsia="zh-CN" w:bidi="ar-SA"/>
              </w:rPr>
              <w:t>具有</w:t>
            </w:r>
            <w:r>
              <w:rPr>
                <w:rFonts w:hint="eastAsia" w:ascii="宋体" w:hAnsi="宋体" w:eastAsia="宋体" w:cs="宋体"/>
                <w:color w:val="auto"/>
                <w:kern w:val="2"/>
                <w:sz w:val="24"/>
                <w:szCs w:val="24"/>
                <w:highlight w:val="none"/>
                <w:lang w:eastAsia="zh-CN" w:bidi="ar-SA"/>
              </w:rPr>
              <w:t>效期内的中国绿色产品认证证书且认证单元须包含柜类得</w:t>
            </w: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eastAsia="zh-CN" w:bidi="ar-SA"/>
              </w:rPr>
              <w:t xml:space="preserve">分。注：以上证书需提供原件扫描件，且提供在全国认证认可信息公共服务平台（认 e 云）（http://cx.cnca.cn/）的查询记录截图及查询网址。（原件备查 ）否则不得分。     </w:t>
            </w:r>
          </w:p>
        </w:tc>
        <w:tc>
          <w:tcPr>
            <w:tcW w:w="898" w:type="dxa"/>
            <w:tcBorders>
              <w:top w:val="single" w:color="auto" w:sz="4" w:space="0"/>
              <w:left w:val="nil"/>
              <w:bottom w:val="single" w:color="auto" w:sz="4" w:space="0"/>
              <w:right w:val="single" w:color="auto" w:sz="4" w:space="0"/>
            </w:tcBorders>
            <w:noWrap w:val="0"/>
            <w:vAlign w:val="center"/>
          </w:tcPr>
          <w:p w14:paraId="3C033452">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33E6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0B765861">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838" w:type="dxa"/>
            <w:tcBorders>
              <w:top w:val="single" w:color="auto" w:sz="4" w:space="0"/>
              <w:left w:val="nil"/>
              <w:bottom w:val="single" w:color="auto" w:sz="4" w:space="0"/>
              <w:right w:val="single" w:color="auto" w:sz="4" w:space="0"/>
            </w:tcBorders>
            <w:noWrap w:val="0"/>
            <w:vAlign w:val="top"/>
          </w:tcPr>
          <w:p w14:paraId="18E08E98">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投标人</w:t>
            </w:r>
            <w:r>
              <w:rPr>
                <w:rFonts w:hint="eastAsia" w:ascii="宋体" w:hAnsi="宋体" w:eastAsia="宋体" w:cs="宋体"/>
                <w:color w:val="auto"/>
                <w:kern w:val="2"/>
                <w:sz w:val="24"/>
                <w:szCs w:val="24"/>
                <w:highlight w:val="none"/>
                <w:lang w:val="en-US" w:eastAsia="zh-CN" w:bidi="ar-SA"/>
              </w:rPr>
              <w:t>或产品制造商</w:t>
            </w:r>
            <w:r>
              <w:rPr>
                <w:rFonts w:ascii="宋体" w:hAnsi="宋体" w:eastAsia="宋体" w:cs="宋体"/>
                <w:color w:val="auto"/>
                <w:kern w:val="2"/>
                <w:sz w:val="24"/>
                <w:szCs w:val="24"/>
                <w:highlight w:val="none"/>
                <w:lang w:eastAsia="zh-CN" w:bidi="ar-SA"/>
              </w:rPr>
              <w:t>具有</w:t>
            </w:r>
            <w:r>
              <w:rPr>
                <w:rFonts w:hint="eastAsia" w:ascii="宋体" w:hAnsi="宋体" w:eastAsia="宋体" w:cs="宋体"/>
                <w:color w:val="auto"/>
                <w:kern w:val="2"/>
                <w:sz w:val="24"/>
                <w:szCs w:val="24"/>
                <w:highlight w:val="none"/>
                <w:lang w:eastAsia="zh-CN" w:bidi="ar-SA"/>
              </w:rPr>
              <w:t xml:space="preserve">效期内的低VOCs家具产品认证证书且认证单元须包含柜类得1分。注：以上证书需提供原件扫描件，且提供在全国认证认可信息公共服务平台（认 e 云）（http://cx.cnca.cn/）的查询记录截图及查询网址。（原件备查 ）否则不得分。 </w:t>
            </w:r>
          </w:p>
        </w:tc>
        <w:tc>
          <w:tcPr>
            <w:tcW w:w="898" w:type="dxa"/>
            <w:tcBorders>
              <w:top w:val="single" w:color="auto" w:sz="4" w:space="0"/>
              <w:left w:val="nil"/>
              <w:bottom w:val="single" w:color="auto" w:sz="4" w:space="0"/>
              <w:right w:val="single" w:color="auto" w:sz="4" w:space="0"/>
            </w:tcBorders>
            <w:noWrap w:val="0"/>
            <w:vAlign w:val="center"/>
          </w:tcPr>
          <w:p w14:paraId="2A6B33E7">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2C819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4A81292B">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2-3</w:t>
            </w:r>
          </w:p>
        </w:tc>
        <w:tc>
          <w:tcPr>
            <w:tcW w:w="6838" w:type="dxa"/>
            <w:tcBorders>
              <w:top w:val="single" w:color="auto" w:sz="4" w:space="0"/>
              <w:left w:val="nil"/>
              <w:bottom w:val="single" w:color="auto" w:sz="4" w:space="0"/>
              <w:right w:val="single" w:color="auto" w:sz="4" w:space="0"/>
            </w:tcBorders>
            <w:noWrap w:val="0"/>
            <w:vAlign w:val="top"/>
          </w:tcPr>
          <w:p w14:paraId="7C7E1EED">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投标人</w:t>
            </w:r>
            <w:r>
              <w:rPr>
                <w:rFonts w:hint="eastAsia" w:ascii="宋体" w:hAnsi="宋体" w:eastAsia="宋体" w:cs="宋体"/>
                <w:color w:val="auto"/>
                <w:kern w:val="2"/>
                <w:sz w:val="24"/>
                <w:szCs w:val="24"/>
                <w:highlight w:val="none"/>
                <w:lang w:val="en-US" w:eastAsia="zh-CN" w:bidi="ar-SA"/>
              </w:rPr>
              <w:t>或产品制造商</w:t>
            </w:r>
            <w:r>
              <w:rPr>
                <w:rFonts w:ascii="宋体" w:hAnsi="宋体" w:eastAsia="宋体" w:cs="宋体"/>
                <w:color w:val="auto"/>
                <w:kern w:val="2"/>
                <w:sz w:val="24"/>
                <w:szCs w:val="24"/>
                <w:highlight w:val="none"/>
                <w:lang w:eastAsia="zh-CN" w:bidi="ar-SA"/>
              </w:rPr>
              <w:t>具</w:t>
            </w:r>
            <w:r>
              <w:rPr>
                <w:rFonts w:hint="eastAsia" w:ascii="宋体" w:hAnsi="宋体" w:eastAsia="宋体" w:cs="宋体"/>
                <w:color w:val="auto"/>
                <w:kern w:val="2"/>
                <w:sz w:val="24"/>
                <w:szCs w:val="24"/>
                <w:highlight w:val="none"/>
                <w:lang w:eastAsia="zh-CN" w:bidi="ar-SA"/>
              </w:rPr>
              <w:t>有效期内的家具产品有害物质限量认证证书且认证单元须包含柜类得1分。注：以上证书需提供原件扫描件，且提供在全国认证认可信息公共服务平台（认 e 云）（http://cx.cnca.cn/）的查询记录截图及查询网址。（原件备查 ）否则不得分。</w:t>
            </w:r>
          </w:p>
        </w:tc>
        <w:tc>
          <w:tcPr>
            <w:tcW w:w="898" w:type="dxa"/>
            <w:tcBorders>
              <w:top w:val="single" w:color="auto" w:sz="4" w:space="0"/>
              <w:left w:val="nil"/>
              <w:bottom w:val="single" w:color="auto" w:sz="4" w:space="0"/>
              <w:right w:val="single" w:color="auto" w:sz="4" w:space="0"/>
            </w:tcBorders>
            <w:noWrap w:val="0"/>
            <w:vAlign w:val="center"/>
          </w:tcPr>
          <w:p w14:paraId="553E3AFF">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default"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1</w:t>
            </w:r>
          </w:p>
        </w:tc>
      </w:tr>
      <w:tr w14:paraId="473A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3C3B71F8">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2-4</w:t>
            </w:r>
          </w:p>
        </w:tc>
        <w:tc>
          <w:tcPr>
            <w:tcW w:w="6838" w:type="dxa"/>
            <w:tcBorders>
              <w:top w:val="single" w:color="auto" w:sz="4" w:space="0"/>
              <w:left w:val="nil"/>
              <w:bottom w:val="single" w:color="auto" w:sz="4" w:space="0"/>
              <w:right w:val="single" w:color="auto" w:sz="4" w:space="0"/>
            </w:tcBorders>
            <w:noWrap w:val="0"/>
            <w:vAlign w:val="top"/>
          </w:tcPr>
          <w:p w14:paraId="0D8F8526">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投标人</w:t>
            </w:r>
            <w:r>
              <w:rPr>
                <w:rFonts w:hint="eastAsia" w:ascii="宋体" w:hAnsi="宋体" w:eastAsia="宋体" w:cs="宋体"/>
                <w:color w:val="auto"/>
                <w:kern w:val="2"/>
                <w:sz w:val="24"/>
                <w:szCs w:val="24"/>
                <w:highlight w:val="none"/>
                <w:lang w:val="en-US" w:eastAsia="zh-CN" w:bidi="ar-SA"/>
              </w:rPr>
              <w:t>或产品制造商</w:t>
            </w:r>
            <w:r>
              <w:rPr>
                <w:rFonts w:ascii="宋体" w:hAnsi="宋体" w:eastAsia="宋体" w:cs="宋体"/>
                <w:color w:val="auto"/>
                <w:kern w:val="2"/>
                <w:sz w:val="24"/>
                <w:szCs w:val="24"/>
                <w:highlight w:val="none"/>
                <w:lang w:eastAsia="zh-CN" w:bidi="ar-SA"/>
              </w:rPr>
              <w:t>具</w:t>
            </w:r>
            <w:r>
              <w:rPr>
                <w:rFonts w:hint="eastAsia" w:ascii="宋体" w:hAnsi="宋体" w:eastAsia="宋体" w:cs="宋体"/>
                <w:color w:val="auto"/>
                <w:kern w:val="2"/>
                <w:sz w:val="24"/>
                <w:szCs w:val="24"/>
                <w:highlight w:val="none"/>
                <w:lang w:eastAsia="zh-CN" w:bidi="ar-SA"/>
              </w:rPr>
              <w:t>有效期内的家具产品环保卫士认证且认证单元须包含柜类得1分。注：以上证书需提供原件扫描件，且提供在全国认证认可信息公共服务平台（认 e 云）（http://cx.cnca.cn/）的查询记录截图及查询网址。（原件备查 ）否则不得分。</w:t>
            </w:r>
          </w:p>
        </w:tc>
        <w:tc>
          <w:tcPr>
            <w:tcW w:w="898" w:type="dxa"/>
            <w:tcBorders>
              <w:top w:val="single" w:color="auto" w:sz="4" w:space="0"/>
              <w:left w:val="nil"/>
              <w:bottom w:val="single" w:color="auto" w:sz="4" w:space="0"/>
              <w:right w:val="single" w:color="auto" w:sz="4" w:space="0"/>
            </w:tcBorders>
            <w:noWrap w:val="0"/>
            <w:vAlign w:val="center"/>
          </w:tcPr>
          <w:p w14:paraId="0DE49BE9">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default" w:ascii="宋体" w:hAnsi="宋体" w:eastAsia="宋体" w:cs="宋体"/>
                <w:color w:val="auto"/>
                <w:sz w:val="24"/>
                <w:szCs w:val="24"/>
                <w:highlight w:val="none"/>
                <w:lang w:eastAsia="zh-CN"/>
              </w:rPr>
            </w:pPr>
            <w:r>
              <w:rPr>
                <w:rFonts w:hint="eastAsia" w:ascii="宋体" w:hAnsi="宋体" w:cs="宋体"/>
                <w:color w:val="auto"/>
                <w:kern w:val="0"/>
                <w:sz w:val="24"/>
                <w:szCs w:val="24"/>
                <w:highlight w:val="none"/>
                <w:lang w:val="en-US" w:eastAsia="zh-CN" w:bidi="ar"/>
              </w:rPr>
              <w:t>1</w:t>
            </w:r>
          </w:p>
        </w:tc>
      </w:tr>
      <w:tr w14:paraId="3606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249B43BE">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2-5</w:t>
            </w:r>
          </w:p>
        </w:tc>
        <w:tc>
          <w:tcPr>
            <w:tcW w:w="6838" w:type="dxa"/>
            <w:tcBorders>
              <w:top w:val="single" w:color="auto" w:sz="4" w:space="0"/>
              <w:left w:val="nil"/>
              <w:bottom w:val="single" w:color="auto" w:sz="4" w:space="0"/>
              <w:right w:val="single" w:color="auto" w:sz="4" w:space="0"/>
            </w:tcBorders>
            <w:noWrap w:val="0"/>
            <w:vAlign w:val="top"/>
          </w:tcPr>
          <w:p w14:paraId="0FFF48DC">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投标人</w:t>
            </w:r>
            <w:r>
              <w:rPr>
                <w:rFonts w:hint="eastAsia" w:ascii="宋体" w:hAnsi="宋体" w:eastAsia="宋体" w:cs="宋体"/>
                <w:color w:val="auto"/>
                <w:kern w:val="2"/>
                <w:sz w:val="24"/>
                <w:szCs w:val="24"/>
                <w:highlight w:val="none"/>
                <w:lang w:val="en-US" w:eastAsia="zh-CN" w:bidi="ar-SA"/>
              </w:rPr>
              <w:t>或产品制造商</w:t>
            </w:r>
            <w:r>
              <w:rPr>
                <w:rFonts w:hint="eastAsia" w:ascii="宋体" w:hAnsi="宋体" w:eastAsia="宋体" w:cs="宋体"/>
                <w:color w:val="auto"/>
                <w:kern w:val="2"/>
                <w:sz w:val="24"/>
                <w:szCs w:val="24"/>
                <w:highlight w:val="none"/>
                <w:lang w:eastAsia="zh-CN" w:bidi="ar-SA"/>
              </w:rPr>
              <w:t xml:space="preserve">提供有效期内的产品阻燃等级认证证书得1分。注：以上证书需提供原件扫描件，且提供在全国认证认可信息公共服务平台（认 e 云）（http://cx.cnca.cn/）的查询记录截图及查询网址。（原件备查 ）否则不得分。   </w:t>
            </w:r>
          </w:p>
        </w:tc>
        <w:tc>
          <w:tcPr>
            <w:tcW w:w="898" w:type="dxa"/>
            <w:tcBorders>
              <w:top w:val="single" w:color="auto" w:sz="4" w:space="0"/>
              <w:left w:val="nil"/>
              <w:bottom w:val="single" w:color="auto" w:sz="4" w:space="0"/>
              <w:right w:val="single" w:color="auto" w:sz="4" w:space="0"/>
            </w:tcBorders>
            <w:noWrap w:val="0"/>
            <w:vAlign w:val="center"/>
          </w:tcPr>
          <w:p w14:paraId="0818E4C1">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default" w:ascii="宋体" w:hAnsi="宋体" w:eastAsia="宋体" w:cs="宋体"/>
                <w:color w:val="auto"/>
                <w:sz w:val="24"/>
                <w:szCs w:val="24"/>
                <w:highlight w:val="none"/>
                <w:lang w:eastAsia="zh-CN"/>
              </w:rPr>
            </w:pPr>
            <w:r>
              <w:rPr>
                <w:rFonts w:hint="eastAsia" w:ascii="宋体" w:hAnsi="宋体" w:cs="宋体"/>
                <w:color w:val="auto"/>
                <w:kern w:val="0"/>
                <w:sz w:val="24"/>
                <w:szCs w:val="24"/>
                <w:highlight w:val="none"/>
                <w:lang w:val="en-US" w:eastAsia="zh-CN" w:bidi="ar"/>
              </w:rPr>
              <w:t>1</w:t>
            </w:r>
          </w:p>
        </w:tc>
      </w:tr>
      <w:tr w14:paraId="1FB2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75B88A6E">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2-6</w:t>
            </w:r>
          </w:p>
        </w:tc>
        <w:tc>
          <w:tcPr>
            <w:tcW w:w="6838" w:type="dxa"/>
            <w:tcBorders>
              <w:top w:val="single" w:color="auto" w:sz="4" w:space="0"/>
              <w:left w:val="nil"/>
              <w:bottom w:val="single" w:color="auto" w:sz="4" w:space="0"/>
              <w:right w:val="single" w:color="auto" w:sz="4" w:space="0"/>
            </w:tcBorders>
            <w:noWrap w:val="0"/>
            <w:vAlign w:val="top"/>
          </w:tcPr>
          <w:p w14:paraId="7B3ABB36">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投标人</w:t>
            </w:r>
            <w:r>
              <w:rPr>
                <w:rFonts w:hint="eastAsia" w:ascii="宋体" w:hAnsi="宋体" w:eastAsia="宋体" w:cs="宋体"/>
                <w:color w:val="auto"/>
                <w:kern w:val="2"/>
                <w:sz w:val="24"/>
                <w:szCs w:val="24"/>
                <w:highlight w:val="none"/>
                <w:lang w:val="en-US" w:eastAsia="zh-CN" w:bidi="ar-SA"/>
              </w:rPr>
              <w:t>或产品制造商</w:t>
            </w:r>
            <w:r>
              <w:rPr>
                <w:rFonts w:hint="eastAsia" w:ascii="宋体" w:hAnsi="宋体" w:eastAsia="宋体" w:cs="宋体"/>
                <w:color w:val="auto"/>
                <w:kern w:val="2"/>
                <w:sz w:val="24"/>
                <w:szCs w:val="24"/>
                <w:highlight w:val="none"/>
                <w:lang w:eastAsia="zh-CN" w:bidi="ar-SA"/>
              </w:rPr>
              <w:t>提供有效期内的人类功效学认证证书（认证单元包含柜架类）得1分。注：以上证书需提供原件扫描件，且提供在全国认证认可信息公共服务平台（认 e 云）（http://cx.cnca.cn/）的查询记录截图及查询网址。（原件备查 ）否则不得分。</w:t>
            </w:r>
          </w:p>
        </w:tc>
        <w:tc>
          <w:tcPr>
            <w:tcW w:w="898" w:type="dxa"/>
            <w:tcBorders>
              <w:top w:val="single" w:color="auto" w:sz="4" w:space="0"/>
              <w:left w:val="nil"/>
              <w:bottom w:val="single" w:color="auto" w:sz="4" w:space="0"/>
              <w:right w:val="single" w:color="auto" w:sz="4" w:space="0"/>
            </w:tcBorders>
            <w:noWrap w:val="0"/>
            <w:vAlign w:val="center"/>
          </w:tcPr>
          <w:p w14:paraId="2878C27E">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default"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
              </w:rPr>
              <w:t>1</w:t>
            </w:r>
          </w:p>
        </w:tc>
      </w:tr>
      <w:tr w14:paraId="359F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1BBFAA0C">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838" w:type="dxa"/>
            <w:tcBorders>
              <w:top w:val="single" w:color="auto" w:sz="4" w:space="0"/>
              <w:left w:val="nil"/>
              <w:bottom w:val="single" w:color="auto" w:sz="4" w:space="0"/>
              <w:right w:val="single" w:color="auto" w:sz="4" w:space="0"/>
            </w:tcBorders>
            <w:noWrap w:val="0"/>
            <w:vAlign w:val="top"/>
          </w:tcPr>
          <w:p w14:paraId="2C2D0001">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根据投标人所承诺的保修期时间长短进行评审：在满足招标文件（质保</w:t>
            </w:r>
            <w:r>
              <w:rPr>
                <w:rFonts w:hint="eastAsia" w:ascii="宋体" w:hAnsi="宋体" w:eastAsia="宋体" w:cs="宋体"/>
                <w:color w:val="auto"/>
                <w:kern w:val="2"/>
                <w:sz w:val="24"/>
                <w:szCs w:val="24"/>
                <w:highlight w:val="none"/>
                <w:lang w:eastAsia="zh-CN" w:bidi="ar-SA"/>
              </w:rPr>
              <w:t>5</w:t>
            </w:r>
            <w:r>
              <w:rPr>
                <w:rFonts w:ascii="宋体" w:hAnsi="宋体" w:eastAsia="宋体" w:cs="宋体"/>
                <w:color w:val="auto"/>
                <w:kern w:val="2"/>
                <w:sz w:val="24"/>
                <w:szCs w:val="24"/>
                <w:highlight w:val="none"/>
                <w:lang w:eastAsia="zh-CN" w:bidi="ar-SA"/>
              </w:rPr>
              <w:t>年）的基础上，每延长1年（不足不计）的得0.5分，满分1分；投标人需提供书面承诺函（格式自拟）并加盖投标人公章，未提供书面承诺函的不得分。</w:t>
            </w:r>
          </w:p>
        </w:tc>
        <w:tc>
          <w:tcPr>
            <w:tcW w:w="898" w:type="dxa"/>
            <w:tcBorders>
              <w:top w:val="single" w:color="auto" w:sz="4" w:space="0"/>
              <w:left w:val="nil"/>
              <w:bottom w:val="single" w:color="auto" w:sz="4" w:space="0"/>
              <w:right w:val="single" w:color="auto" w:sz="4" w:space="0"/>
            </w:tcBorders>
            <w:noWrap w:val="0"/>
            <w:vAlign w:val="center"/>
          </w:tcPr>
          <w:p w14:paraId="1B8B1D75">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default"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w:t>
            </w:r>
          </w:p>
        </w:tc>
      </w:tr>
      <w:tr w14:paraId="7AC95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553B6102">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2-8</w:t>
            </w:r>
          </w:p>
        </w:tc>
        <w:tc>
          <w:tcPr>
            <w:tcW w:w="6838" w:type="dxa"/>
            <w:tcBorders>
              <w:top w:val="single" w:color="auto" w:sz="4" w:space="0"/>
              <w:left w:val="nil"/>
              <w:bottom w:val="single" w:color="auto" w:sz="4" w:space="0"/>
              <w:right w:val="single" w:color="auto" w:sz="4" w:space="0"/>
            </w:tcBorders>
            <w:noWrap w:val="0"/>
            <w:vAlign w:val="top"/>
          </w:tcPr>
          <w:p w14:paraId="58F9FCE9">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根据投标人所承诺的交付时间进行评审：在满足招标文件（</w:t>
            </w:r>
            <w:r>
              <w:rPr>
                <w:rFonts w:hint="eastAsia" w:ascii="宋体" w:hAnsi="宋体" w:eastAsia="宋体" w:cs="宋体"/>
                <w:color w:val="auto"/>
                <w:kern w:val="2"/>
                <w:sz w:val="24"/>
                <w:szCs w:val="24"/>
                <w:highlight w:val="none"/>
                <w:lang w:eastAsia="zh-CN" w:bidi="ar-SA"/>
              </w:rPr>
              <w:t>3</w:t>
            </w:r>
            <w:r>
              <w:rPr>
                <w:rFonts w:ascii="宋体" w:hAnsi="宋体" w:eastAsia="宋体" w:cs="宋体"/>
                <w:color w:val="auto"/>
                <w:kern w:val="2"/>
                <w:sz w:val="24"/>
                <w:szCs w:val="24"/>
                <w:highlight w:val="none"/>
                <w:lang w:eastAsia="zh-CN" w:bidi="ar-SA"/>
              </w:rPr>
              <w:t>0个日历日）的基础上，每提前5个日历日（不足不计）得1分，满分3分；投标人需提供书面承诺函（格式自拟）并加盖投标人公章，未提供书面承诺函的不得分。</w:t>
            </w:r>
          </w:p>
        </w:tc>
        <w:tc>
          <w:tcPr>
            <w:tcW w:w="898" w:type="dxa"/>
            <w:tcBorders>
              <w:top w:val="single" w:color="auto" w:sz="4" w:space="0"/>
              <w:left w:val="nil"/>
              <w:bottom w:val="single" w:color="auto" w:sz="4" w:space="0"/>
              <w:right w:val="single" w:color="auto" w:sz="4" w:space="0"/>
            </w:tcBorders>
            <w:noWrap w:val="0"/>
            <w:vAlign w:val="center"/>
          </w:tcPr>
          <w:p w14:paraId="009EE98C">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default"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3</w:t>
            </w:r>
          </w:p>
        </w:tc>
      </w:tr>
      <w:tr w14:paraId="104A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72DF26EE">
            <w:pPr>
              <w:keepNext w:val="0"/>
              <w:keepLines w:val="0"/>
              <w:suppressLineNumbers w:val="0"/>
              <w:wordWrap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2-9</w:t>
            </w:r>
          </w:p>
        </w:tc>
        <w:tc>
          <w:tcPr>
            <w:tcW w:w="6838" w:type="dxa"/>
            <w:tcBorders>
              <w:top w:val="single" w:color="auto" w:sz="4" w:space="0"/>
              <w:left w:val="nil"/>
              <w:bottom w:val="single" w:color="auto" w:sz="4" w:space="0"/>
              <w:right w:val="single" w:color="auto" w:sz="4" w:space="0"/>
            </w:tcBorders>
            <w:noWrap w:val="0"/>
            <w:vAlign w:val="top"/>
          </w:tcPr>
          <w:p w14:paraId="0756FFA7">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kern w:val="2"/>
                <w:sz w:val="24"/>
                <w:szCs w:val="24"/>
                <w:highlight w:val="none"/>
                <w:lang w:eastAsia="zh-CN" w:bidi="ar-SA"/>
              </w:rPr>
            </w:pPr>
            <w:r>
              <w:rPr>
                <w:rFonts w:ascii="宋体" w:hAnsi="宋体" w:eastAsia="宋体" w:cs="宋体"/>
                <w:color w:val="auto"/>
                <w:kern w:val="2"/>
                <w:sz w:val="24"/>
                <w:szCs w:val="24"/>
                <w:highlight w:val="none"/>
                <w:lang w:eastAsia="zh-CN" w:bidi="ar-SA"/>
              </w:rPr>
              <w:t>根据投标人自2022年1月1日至开标当日（日期以合同签订时间为准）所完成家具类项目的业绩的有效证明文件进行评价，每提供一个有效业绩得</w:t>
            </w:r>
            <w:r>
              <w:rPr>
                <w:rFonts w:hint="eastAsia" w:ascii="宋体" w:hAnsi="宋体" w:eastAsia="宋体" w:cs="宋体"/>
                <w:color w:val="auto"/>
                <w:kern w:val="2"/>
                <w:sz w:val="24"/>
                <w:szCs w:val="24"/>
                <w:highlight w:val="none"/>
                <w:lang w:val="en-US" w:eastAsia="zh-CN" w:bidi="ar-SA"/>
              </w:rPr>
              <w:t>1</w:t>
            </w:r>
            <w:r>
              <w:rPr>
                <w:rFonts w:ascii="宋体" w:hAnsi="宋体" w:eastAsia="宋体" w:cs="宋体"/>
                <w:color w:val="auto"/>
                <w:kern w:val="2"/>
                <w:sz w:val="24"/>
                <w:szCs w:val="24"/>
                <w:highlight w:val="none"/>
                <w:lang w:eastAsia="zh-CN" w:bidi="ar-SA"/>
              </w:rPr>
              <w:t>分，满分</w:t>
            </w:r>
            <w:r>
              <w:rPr>
                <w:rFonts w:hint="eastAsia" w:ascii="宋体" w:hAnsi="宋体" w:eastAsia="宋体" w:cs="宋体"/>
                <w:color w:val="auto"/>
                <w:kern w:val="2"/>
                <w:sz w:val="24"/>
                <w:szCs w:val="24"/>
                <w:highlight w:val="none"/>
                <w:lang w:val="en-US" w:eastAsia="zh-CN" w:bidi="ar-SA"/>
              </w:rPr>
              <w:t>3</w:t>
            </w:r>
            <w:r>
              <w:rPr>
                <w:rFonts w:ascii="宋体" w:hAnsi="宋体" w:eastAsia="宋体" w:cs="宋体"/>
                <w:color w:val="auto"/>
                <w:kern w:val="2"/>
                <w:sz w:val="24"/>
                <w:szCs w:val="24"/>
                <w:highlight w:val="none"/>
                <w:lang w:eastAsia="zh-CN" w:bidi="ar-SA"/>
              </w:rPr>
              <w:t>分。</w:t>
            </w:r>
          </w:p>
          <w:p w14:paraId="7E2C144B">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lang w:eastAsia="zh-CN" w:bidi="ar-SA"/>
              </w:rPr>
            </w:pPr>
            <w:r>
              <w:rPr>
                <w:rFonts w:hint="eastAsia" w:ascii="宋体" w:hAnsi="宋体" w:eastAsia="宋体" w:cs="宋体"/>
                <w:color w:val="auto"/>
                <w:sz w:val="24"/>
                <w:szCs w:val="24"/>
                <w:highlight w:val="none"/>
              </w:rPr>
              <w:t>业绩作为评分条件的，投标人须提供该业绩项目的中标（成交）公告（提供相关网站中标（成交）公告的下载网页的复印件及其网址）、中标（成交）通知书复印件、采购合同文本复印件，以及能够证明该业绩项目已经</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验收合格的相关证明文件复印件，原件备查；如未按招标文件要求提供该项业绩完整资料的，评标委员会对该项业绩将不予采信。</w:t>
            </w:r>
          </w:p>
        </w:tc>
        <w:tc>
          <w:tcPr>
            <w:tcW w:w="898" w:type="dxa"/>
            <w:tcBorders>
              <w:top w:val="single" w:color="auto" w:sz="4" w:space="0"/>
              <w:left w:val="nil"/>
              <w:bottom w:val="single" w:color="auto" w:sz="4" w:space="0"/>
              <w:right w:val="single" w:color="auto" w:sz="4" w:space="0"/>
            </w:tcBorders>
            <w:noWrap w:val="0"/>
            <w:vAlign w:val="center"/>
          </w:tcPr>
          <w:p w14:paraId="42A046CF">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r>
      <w:tr w14:paraId="0333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83" w:type="dxa"/>
            <w:tcBorders>
              <w:top w:val="single" w:color="auto" w:sz="4" w:space="0"/>
              <w:left w:val="single" w:color="auto" w:sz="4" w:space="0"/>
              <w:bottom w:val="single" w:color="auto" w:sz="4" w:space="0"/>
              <w:right w:val="single" w:color="auto" w:sz="4" w:space="0"/>
            </w:tcBorders>
            <w:noWrap w:val="0"/>
            <w:vAlign w:val="center"/>
          </w:tcPr>
          <w:p w14:paraId="036244C6">
            <w:pPr>
              <w:keepNext w:val="0"/>
              <w:keepLines w:val="0"/>
              <w:suppressLineNumbers w:val="0"/>
              <w:wordWrap w:val="0"/>
              <w:spacing w:before="0" w:beforeAutospacing="0" w:after="0" w:afterAutospacing="0" w:line="360" w:lineRule="auto"/>
              <w:ind w:left="0" w:right="0"/>
              <w:jc w:val="center"/>
              <w:rPr>
                <w:rFonts w:hint="eastAsia" w:ascii="宋体" w:hAnsi="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2-10</w:t>
            </w:r>
          </w:p>
        </w:tc>
        <w:tc>
          <w:tcPr>
            <w:tcW w:w="6838" w:type="dxa"/>
            <w:tcBorders>
              <w:top w:val="single" w:color="auto" w:sz="4" w:space="0"/>
              <w:left w:val="nil"/>
              <w:bottom w:val="single" w:color="auto" w:sz="4" w:space="0"/>
              <w:right w:val="single" w:color="auto" w:sz="4" w:space="0"/>
            </w:tcBorders>
            <w:noWrap w:val="0"/>
            <w:vAlign w:val="top"/>
          </w:tcPr>
          <w:p w14:paraId="0C8710E1">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sz w:val="20"/>
                <w:szCs w:val="20"/>
                <w:highlight w:val="none"/>
              </w:rPr>
            </w:pPr>
            <w:r>
              <w:rPr>
                <w:rFonts w:hint="eastAsia" w:ascii="宋体" w:hAnsi="宋体" w:eastAsia="宋体" w:cs="宋体"/>
                <w:color w:val="auto"/>
                <w:sz w:val="24"/>
                <w:szCs w:val="24"/>
                <w:highlight w:val="none"/>
              </w:rPr>
              <w:t>投标人可提供厦门本地化服务的得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分，否则不得分。投标人可提供合作单位协议或者自身机构的营业执照证明，也可以提供在本地设立的项目部、办公室、办事处等机构证明，或者承诺中标后提供本地化服务（须</w:t>
            </w:r>
            <w:r>
              <w:rPr>
                <w:rFonts w:hint="eastAsia" w:ascii="宋体" w:hAnsi="宋体" w:eastAsia="宋体" w:cs="宋体"/>
                <w:color w:val="auto"/>
                <w:kern w:val="2"/>
                <w:sz w:val="24"/>
                <w:szCs w:val="24"/>
                <w:highlight w:val="none"/>
              </w:rPr>
              <w:t>提供书面承诺函，格式自拟）。</w:t>
            </w:r>
          </w:p>
        </w:tc>
        <w:tc>
          <w:tcPr>
            <w:tcW w:w="898" w:type="dxa"/>
            <w:tcBorders>
              <w:top w:val="single" w:color="auto" w:sz="4" w:space="0"/>
              <w:left w:val="nil"/>
              <w:bottom w:val="single" w:color="auto" w:sz="4" w:space="0"/>
              <w:right w:val="single" w:color="auto" w:sz="4" w:space="0"/>
            </w:tcBorders>
            <w:noWrap w:val="0"/>
            <w:vAlign w:val="center"/>
          </w:tcPr>
          <w:p w14:paraId="3AB0879D">
            <w:pPr>
              <w:keepNext w:val="0"/>
              <w:keepLines w:val="0"/>
              <w:suppressLineNumbers w:val="0"/>
              <w:wordWrap w:val="0"/>
              <w:adjustRightInd w:val="0"/>
              <w:snapToGrid w:val="0"/>
              <w:spacing w:before="0" w:beforeAutospacing="0" w:after="0" w:afterAutospacing="0" w:line="360" w:lineRule="auto"/>
              <w:ind w:left="437" w:right="0" w:hanging="499" w:hangingChars="208"/>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r>
      <w:bookmarkEnd w:id="1"/>
    </w:tbl>
    <w:p w14:paraId="07A79B25">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299964B9">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1687103C">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14:paraId="688DC7EF">
      <w:pPr>
        <w:pStyle w:val="5"/>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对其提供的小型或微型企业产品的投标报价给予20%的扣除，扣除后的价格作为该投标人的评标价参与价格评分。</w:t>
      </w:r>
    </w:p>
    <w:p w14:paraId="15DA95DE">
      <w:pPr>
        <w:pStyle w:val="5"/>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、采购代理机构应当对联合体或者大中型企业的报价给予6%的扣除，用扣除后的价格参加评审。</w:t>
      </w:r>
    </w:p>
    <w:p w14:paraId="26CD7CA0">
      <w:pPr>
        <w:pStyle w:val="11"/>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5EB489A0">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节能、环境标志产品价格扣除：</w:t>
      </w:r>
    </w:p>
    <w:p w14:paraId="1D430DF0">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44E55250">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3E6FB477">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426177F4">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投标人应分别明确节能或环境标志产品的名称、数量、分项报价、总报价，并提供认证证书复印件，否则不予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570C1653">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1B3A0E2A">
      <w:p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0A2C21B9">
      <w:pPr>
        <w:pStyle w:val="5"/>
        <w:spacing w:line="360" w:lineRule="auto"/>
        <w:ind w:firstLine="840"/>
        <w:rPr>
          <w:rFonts w:hint="eastAsia" w:hAnsi="宋体" w:eastAsia="宋体" w:cs="宋体"/>
          <w:bCs/>
          <w:color w:val="auto"/>
          <w:sz w:val="24"/>
          <w:szCs w:val="24"/>
          <w:highlight w:val="none"/>
        </w:rPr>
      </w:pPr>
      <w:r>
        <w:rPr>
          <w:rFonts w:hint="eastAsia" w:hAnsi="宋体" w:eastAsia="宋体" w:cs="宋体"/>
          <w:bCs/>
          <w:color w:val="auto"/>
          <w:sz w:val="24"/>
          <w:szCs w:val="24"/>
          <w:highlight w:val="none"/>
        </w:rPr>
        <w:t>备注：</w:t>
      </w:r>
    </w:p>
    <w:p w14:paraId="5B38B055">
      <w:pPr>
        <w:pStyle w:val="5"/>
        <w:spacing w:line="360" w:lineRule="auto"/>
        <w:ind w:firstLine="480" w:firstLineChars="200"/>
        <w:rPr>
          <w:rFonts w:hint="eastAsia" w:hAnsi="宋体" w:eastAsia="宋体" w:cs="宋体"/>
          <w:bCs/>
          <w:color w:val="auto"/>
          <w:sz w:val="24"/>
          <w:szCs w:val="24"/>
          <w:highlight w:val="none"/>
        </w:rPr>
      </w:pPr>
      <w:r>
        <w:rPr>
          <w:rFonts w:hint="eastAsia" w:hAnsi="宋体" w:eastAsia="宋体" w:cs="宋体"/>
          <w:bCs/>
          <w:color w:val="auto"/>
          <w:sz w:val="24"/>
          <w:szCs w:val="24"/>
          <w:highlight w:val="none"/>
        </w:rPr>
        <w:t>1、技术商务评分中涉及排名情况的评分由评标委员会根据各投标人投标文件的响应情况进行综合评议得出排名。</w:t>
      </w:r>
    </w:p>
    <w:p w14:paraId="1DC441B3">
      <w:pPr>
        <w:pStyle w:val="5"/>
        <w:numPr>
          <w:ilvl w:val="-1"/>
          <w:numId w:val="0"/>
        </w:numPr>
        <w:spacing w:line="360" w:lineRule="auto"/>
        <w:ind w:firstLine="480" w:firstLineChars="200"/>
        <w:rPr>
          <w:rFonts w:hint="eastAsia" w:hAnsi="宋体" w:eastAsia="宋体" w:cs="宋体"/>
          <w:color w:val="auto"/>
          <w:sz w:val="24"/>
          <w:szCs w:val="24"/>
          <w:highlight w:val="none"/>
        </w:rPr>
      </w:pPr>
      <w:r>
        <w:rPr>
          <w:rFonts w:hint="eastAsia" w:hAnsi="宋体" w:cs="宋体"/>
          <w:color w:val="auto"/>
          <w:sz w:val="24"/>
          <w:szCs w:val="24"/>
          <w:highlight w:val="none"/>
          <w:lang w:val="en-US" w:eastAsia="zh-CN"/>
        </w:rPr>
        <w:t>2、</w:t>
      </w:r>
      <w:r>
        <w:rPr>
          <w:rFonts w:hint="eastAsia" w:hAnsi="宋体" w:eastAsia="宋体" w:cs="宋体"/>
          <w:color w:val="auto"/>
          <w:sz w:val="24"/>
          <w:szCs w:val="24"/>
          <w:highlight w:val="none"/>
        </w:rPr>
        <w:t>业绩作为评分条件的，投标人须提供该业绩项目的中标（成交）公告（提供相关网站中标（成交）公告的下载网页的复印件及其网址）、中标（成交）通知书复印件、采购合同文本复印件，以及能够证明该业绩项目已经</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验收合格的相关证明文件复印件，原件备查；如未按招标文件要求提供该项业绩完整资料的，评标委员会对该项业绩将不予采信。</w:t>
      </w:r>
    </w:p>
    <w:p w14:paraId="1B46C42C">
      <w:pPr>
        <w:pStyle w:val="5"/>
        <w:numPr>
          <w:ilvl w:val="0"/>
          <w:numId w:val="0"/>
        </w:numPr>
        <w:spacing w:line="360" w:lineRule="auto"/>
        <w:ind w:firstLine="720" w:firstLineChars="300"/>
        <w:rPr>
          <w:rFonts w:hint="default" w:hAnsi="宋体" w:eastAsia="宋体" w:cs="宋体"/>
          <w:color w:val="auto"/>
          <w:sz w:val="24"/>
          <w:szCs w:val="24"/>
          <w:highlight w:val="none"/>
          <w:lang w:val="en-US" w:eastAsia="zh-CN"/>
        </w:rPr>
      </w:pPr>
      <w:r>
        <w:rPr>
          <w:rFonts w:hint="eastAsia" w:hAnsi="宋体" w:cs="宋体"/>
          <w:color w:val="auto"/>
          <w:sz w:val="24"/>
          <w:szCs w:val="24"/>
          <w:highlight w:val="none"/>
          <w:lang w:val="en-US" w:eastAsia="zh-CN"/>
        </w:rPr>
        <w:t>3、四舍五入，保留小数点后两位。</w:t>
      </w:r>
    </w:p>
    <w:p w14:paraId="162FFE9D">
      <w:pPr>
        <w:pStyle w:val="5"/>
        <w:numPr>
          <w:ilvl w:val="0"/>
          <w:numId w:val="0"/>
        </w:numPr>
        <w:spacing w:line="360" w:lineRule="auto"/>
        <w:ind w:firstLine="720" w:firstLineChars="300"/>
        <w:rPr>
          <w:rFonts w:hint="eastAsia" w:hAnsi="宋体" w:eastAsia="宋体" w:cs="宋体"/>
          <w:color w:val="auto"/>
          <w:sz w:val="24"/>
          <w:szCs w:val="24"/>
          <w:highlight w:val="none"/>
        </w:rPr>
      </w:pPr>
    </w:p>
    <w:p w14:paraId="51449C4F">
      <w:pPr>
        <w:pStyle w:val="5"/>
        <w:numPr>
          <w:ilvl w:val="0"/>
          <w:numId w:val="0"/>
        </w:numPr>
        <w:spacing w:line="360" w:lineRule="auto"/>
        <w:ind w:firstLine="720" w:firstLineChars="300"/>
        <w:rPr>
          <w:rFonts w:hint="eastAsia" w:hAnsi="宋体" w:eastAsia="宋体" w:cs="宋体"/>
          <w:color w:val="auto"/>
          <w:sz w:val="24"/>
          <w:szCs w:val="24"/>
          <w:highlight w:val="none"/>
        </w:rPr>
      </w:pPr>
    </w:p>
    <w:p w14:paraId="4676A29E">
      <w:pPr>
        <w:pStyle w:val="5"/>
        <w:numPr>
          <w:ilvl w:val="0"/>
          <w:numId w:val="0"/>
        </w:numPr>
        <w:spacing w:line="360" w:lineRule="auto"/>
        <w:ind w:firstLine="720" w:firstLineChars="300"/>
        <w:rPr>
          <w:rFonts w:hint="eastAsia" w:hAnsi="宋体" w:eastAsia="宋体" w:cs="宋体"/>
          <w:color w:val="auto"/>
          <w:sz w:val="24"/>
          <w:szCs w:val="24"/>
          <w:highlight w:val="none"/>
        </w:rPr>
      </w:pPr>
    </w:p>
    <w:p w14:paraId="322A966E">
      <w:pPr>
        <w:spacing w:line="360" w:lineRule="auto"/>
        <w:ind w:firstLine="1280" w:firstLineChars="400"/>
        <w:rPr>
          <w:rFonts w:hint="eastAsia" w:ascii="宋体" w:hAnsi="宋体" w:eastAsia="宋体" w:cs="宋体"/>
          <w:color w:val="auto"/>
          <w:sz w:val="32"/>
          <w:szCs w:val="32"/>
          <w:highlight w:val="none"/>
        </w:rPr>
      </w:pPr>
    </w:p>
    <w:p w14:paraId="1548AB08">
      <w:pPr>
        <w:spacing w:line="360" w:lineRule="auto"/>
        <w:ind w:firstLine="1280" w:firstLineChars="400"/>
        <w:rPr>
          <w:rFonts w:hint="eastAsia" w:ascii="宋体" w:hAnsi="宋体" w:eastAsia="宋体" w:cs="宋体"/>
          <w:color w:val="auto"/>
          <w:sz w:val="32"/>
          <w:szCs w:val="32"/>
          <w:highlight w:val="none"/>
        </w:rPr>
      </w:pPr>
    </w:p>
    <w:p w14:paraId="24D485FD">
      <w:pPr>
        <w:spacing w:line="360" w:lineRule="auto"/>
        <w:ind w:firstLine="1280" w:firstLineChars="400"/>
        <w:rPr>
          <w:rFonts w:hint="eastAsia" w:ascii="宋体" w:hAnsi="宋体" w:eastAsia="宋体" w:cs="宋体"/>
          <w:color w:val="auto"/>
          <w:sz w:val="32"/>
          <w:szCs w:val="32"/>
          <w:highlight w:val="none"/>
        </w:rPr>
      </w:pPr>
    </w:p>
    <w:p w14:paraId="11F1CC08">
      <w:pPr>
        <w:spacing w:line="360" w:lineRule="auto"/>
        <w:ind w:firstLine="1280" w:firstLineChars="400"/>
        <w:rPr>
          <w:rFonts w:hint="eastAsia" w:ascii="宋体" w:hAnsi="宋体" w:eastAsia="宋体" w:cs="宋体"/>
          <w:color w:val="auto"/>
          <w:sz w:val="32"/>
          <w:szCs w:val="32"/>
          <w:highlight w:val="none"/>
        </w:rPr>
      </w:pPr>
    </w:p>
    <w:p w14:paraId="1880528C">
      <w:pPr>
        <w:spacing w:line="360" w:lineRule="auto"/>
        <w:ind w:firstLine="1280" w:firstLineChars="400"/>
        <w:rPr>
          <w:rFonts w:hint="eastAsia" w:ascii="宋体" w:hAnsi="宋体" w:eastAsia="宋体" w:cs="宋体"/>
          <w:color w:val="auto"/>
          <w:sz w:val="32"/>
          <w:szCs w:val="32"/>
          <w:highlight w:val="none"/>
        </w:rPr>
      </w:pPr>
    </w:p>
    <w:p w14:paraId="2140A0C4">
      <w:pPr>
        <w:spacing w:line="360" w:lineRule="auto"/>
        <w:ind w:firstLine="1280" w:firstLineChars="400"/>
        <w:rPr>
          <w:rFonts w:hint="eastAsia" w:ascii="宋体" w:hAnsi="宋体" w:eastAsia="宋体" w:cs="宋体"/>
          <w:color w:val="auto"/>
          <w:sz w:val="32"/>
          <w:szCs w:val="32"/>
          <w:highlight w:val="none"/>
        </w:rPr>
      </w:pPr>
    </w:p>
    <w:p w14:paraId="4519114C">
      <w:pPr>
        <w:spacing w:line="360" w:lineRule="auto"/>
        <w:ind w:firstLine="1280" w:firstLineChars="400"/>
        <w:rPr>
          <w:rFonts w:hint="eastAsia" w:ascii="宋体" w:hAnsi="宋体" w:eastAsia="宋体" w:cs="宋体"/>
          <w:color w:val="auto"/>
          <w:sz w:val="32"/>
          <w:szCs w:val="32"/>
          <w:highlight w:val="none"/>
        </w:rPr>
      </w:pPr>
    </w:p>
    <w:p w14:paraId="08276234">
      <w:pPr>
        <w:spacing w:line="360" w:lineRule="auto"/>
        <w:ind w:firstLine="1280" w:firstLineChars="400"/>
        <w:rPr>
          <w:rFonts w:hint="eastAsia" w:ascii="宋体" w:hAnsi="宋体" w:eastAsia="宋体" w:cs="宋体"/>
          <w:color w:val="auto"/>
          <w:sz w:val="32"/>
          <w:szCs w:val="32"/>
          <w:highlight w:val="none"/>
        </w:rPr>
      </w:pPr>
    </w:p>
    <w:p w14:paraId="446FD03A">
      <w:pPr>
        <w:spacing w:line="360" w:lineRule="auto"/>
        <w:ind w:firstLine="1280" w:firstLineChars="400"/>
        <w:rPr>
          <w:rFonts w:hint="eastAsia" w:ascii="宋体" w:hAnsi="宋体" w:eastAsia="宋体" w:cs="宋体"/>
          <w:color w:val="auto"/>
          <w:sz w:val="32"/>
          <w:szCs w:val="32"/>
          <w:highlight w:val="none"/>
        </w:rPr>
      </w:pPr>
    </w:p>
    <w:p w14:paraId="2528A15E">
      <w:pPr>
        <w:spacing w:line="360" w:lineRule="auto"/>
        <w:ind w:firstLine="1280" w:firstLineChars="400"/>
        <w:rPr>
          <w:rFonts w:hint="eastAsia" w:ascii="宋体" w:hAnsi="宋体" w:eastAsia="宋体" w:cs="宋体"/>
          <w:color w:val="auto"/>
          <w:sz w:val="32"/>
          <w:szCs w:val="32"/>
          <w:highlight w:val="none"/>
        </w:rPr>
      </w:pPr>
    </w:p>
    <w:p w14:paraId="36A6C8F1">
      <w:pPr>
        <w:spacing w:line="360" w:lineRule="auto"/>
        <w:ind w:firstLine="0" w:firstLineChars="0"/>
        <w:rPr>
          <w:rFonts w:hint="eastAsia" w:ascii="宋体" w:hAnsi="宋体" w:eastAsia="宋体" w:cs="宋体"/>
          <w:color w:val="auto"/>
          <w:sz w:val="32"/>
          <w:szCs w:val="32"/>
          <w:highlight w:val="none"/>
        </w:rPr>
      </w:pPr>
    </w:p>
    <w:p w14:paraId="3048DE6F">
      <w:pPr>
        <w:spacing w:line="360" w:lineRule="auto"/>
        <w:ind w:firstLine="1280" w:firstLineChars="400"/>
        <w:rPr>
          <w:rFonts w:hint="eastAsia" w:ascii="宋体" w:hAnsi="宋体" w:eastAsia="宋体" w:cs="宋体"/>
          <w:color w:val="auto"/>
          <w:sz w:val="32"/>
          <w:szCs w:val="32"/>
          <w:highlight w:val="none"/>
        </w:rPr>
      </w:pPr>
    </w:p>
    <w:p w14:paraId="0D36BB92">
      <w:pPr>
        <w:spacing w:line="360" w:lineRule="auto"/>
        <w:ind w:firstLine="1280" w:firstLineChars="400"/>
        <w:rPr>
          <w:rFonts w:hint="eastAsia" w:ascii="宋体" w:hAnsi="宋体" w:eastAsia="宋体" w:cs="宋体"/>
          <w:color w:val="auto"/>
          <w:sz w:val="32"/>
          <w:szCs w:val="32"/>
          <w:highlight w:val="none"/>
        </w:rPr>
      </w:pPr>
    </w:p>
    <w:p w14:paraId="459470E4">
      <w:pPr>
        <w:spacing w:line="360" w:lineRule="auto"/>
        <w:ind w:firstLine="1280" w:firstLineChars="400"/>
        <w:rPr>
          <w:rFonts w:hint="eastAsia" w:ascii="宋体" w:hAnsi="宋体" w:eastAsia="宋体" w:cs="宋体"/>
          <w:color w:val="auto"/>
          <w:sz w:val="32"/>
          <w:szCs w:val="32"/>
          <w:highlight w:val="none"/>
        </w:rPr>
      </w:pPr>
    </w:p>
    <w:p w14:paraId="3544FCF6">
      <w:pPr>
        <w:spacing w:line="360" w:lineRule="auto"/>
        <w:ind w:firstLine="1280" w:firstLineChars="400"/>
        <w:rPr>
          <w:rFonts w:hint="eastAsia" w:ascii="宋体" w:hAnsi="宋体" w:eastAsia="宋体" w:cs="宋体"/>
          <w:color w:val="auto"/>
          <w:sz w:val="32"/>
          <w:szCs w:val="32"/>
          <w:highlight w:val="none"/>
        </w:rPr>
      </w:pPr>
    </w:p>
    <w:p w14:paraId="4DB934C8">
      <w:pPr>
        <w:spacing w:line="360" w:lineRule="auto"/>
        <w:ind w:firstLine="1280" w:firstLineChars="400"/>
        <w:rPr>
          <w:rFonts w:hint="eastAsia" w:ascii="宋体" w:hAnsi="宋体" w:eastAsia="宋体" w:cs="宋体"/>
          <w:color w:val="auto"/>
          <w:sz w:val="32"/>
          <w:szCs w:val="32"/>
          <w:highlight w:val="none"/>
        </w:rPr>
      </w:pPr>
    </w:p>
    <w:p w14:paraId="2C9D22A0">
      <w:pPr>
        <w:spacing w:line="360" w:lineRule="auto"/>
        <w:ind w:firstLine="1280" w:firstLineChars="400"/>
        <w:rPr>
          <w:rFonts w:hint="eastAsia" w:ascii="宋体" w:hAnsi="宋体" w:eastAsia="宋体" w:cs="宋体"/>
          <w:color w:val="auto"/>
          <w:sz w:val="32"/>
          <w:szCs w:val="32"/>
          <w:highlight w:val="none"/>
        </w:rPr>
      </w:pPr>
    </w:p>
    <w:p w14:paraId="7DC7BFCA">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投标人须知前附表4：中小企业优惠办法</w:t>
      </w:r>
    </w:p>
    <w:tbl>
      <w:tblPr>
        <w:tblStyle w:val="1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74E5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028D0FB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365EFE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7B1F20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7C8A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168FAB5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5381D94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3DA043D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sym w:font="Wingdings 2" w:char="0052"/>
            </w:r>
            <w:r>
              <w:rPr>
                <w:rFonts w:hint="eastAsia" w:ascii="宋体" w:hAnsi="宋体" w:eastAsia="宋体" w:cs="宋体"/>
                <w:color w:val="auto"/>
                <w:sz w:val="24"/>
                <w:szCs w:val="24"/>
                <w:highlight w:val="none"/>
              </w:rPr>
              <w:t>是</w:t>
            </w:r>
          </w:p>
        </w:tc>
      </w:tr>
      <w:tr w14:paraId="3637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1864399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41CDBC3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1076E03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4A1AEB2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69C5DAB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4F01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900" w:type="dxa"/>
            <w:noWrap w:val="0"/>
            <w:vAlign w:val="center"/>
          </w:tcPr>
          <w:p w14:paraId="670DE72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51D70F1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优惠办法：</w:t>
            </w:r>
          </w:p>
        </w:tc>
        <w:tc>
          <w:tcPr>
            <w:tcW w:w="6063" w:type="dxa"/>
            <w:tcBorders>
              <w:bottom w:val="single" w:color="auto" w:sz="4" w:space="0"/>
            </w:tcBorders>
            <w:noWrap w:val="0"/>
            <w:vAlign w:val="top"/>
          </w:tcPr>
          <w:p w14:paraId="290C2626">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z w:val="24"/>
                <w:szCs w:val="24"/>
                <w:highlight w:val="none"/>
              </w:rPr>
            </w:pPr>
            <w:r>
              <w:rPr>
                <w:rFonts w:hint="eastAsia" w:ascii="宋体" w:hAnsi="宋体" w:eastAsia="宋体" w:cs="宋体"/>
                <w:b/>
                <w:color w:val="auto"/>
                <w:spacing w:val="-4"/>
                <w:sz w:val="24"/>
                <w:szCs w:val="24"/>
                <w:highlight w:val="none"/>
              </w:rPr>
              <w:t>投标产品为</w:t>
            </w:r>
            <w:r>
              <w:rPr>
                <w:rFonts w:hint="eastAsia" w:ascii="宋体" w:hAnsi="宋体" w:eastAsia="宋体" w:cs="宋体"/>
                <w:b/>
                <w:color w:val="auto"/>
                <w:sz w:val="24"/>
                <w:szCs w:val="24"/>
                <w:highlight w:val="none"/>
              </w:rPr>
              <w:t>中小企业（含中型、小型、微型企业，下同）生产：</w:t>
            </w:r>
          </w:p>
          <w:p w14:paraId="0F193811">
            <w:pPr>
              <w:keepNext w:val="0"/>
              <w:keepLines w:val="0"/>
              <w:suppressLineNumbers w:val="0"/>
              <w:spacing w:before="0" w:beforeAutospacing="0" w:after="0" w:afterAutospacing="0" w:line="360" w:lineRule="auto"/>
              <w:ind w:left="411" w:right="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2303EB79">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6DA249BF">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w:t>
            </w:r>
            <w:r>
              <w:rPr>
                <w:rStyle w:val="15"/>
                <w:rFonts w:hint="eastAsia" w:ascii="宋体" w:hAnsi="宋体" w:eastAsia="宋体" w:cs="宋体"/>
                <w:b w:val="0"/>
                <w:color w:val="auto"/>
                <w:kern w:val="0"/>
                <w:sz w:val="24"/>
                <w:szCs w:val="24"/>
                <w:highlight w:val="none"/>
              </w:rPr>
              <w:t>代理服务费</w:t>
            </w:r>
            <w:r>
              <w:rPr>
                <w:rFonts w:hint="eastAsia" w:ascii="宋体" w:hAnsi="宋体" w:eastAsia="宋体" w:cs="宋体"/>
                <w:color w:val="auto"/>
                <w:spacing w:val="-4"/>
                <w:sz w:val="24"/>
                <w:szCs w:val="24"/>
                <w:highlight w:val="none"/>
              </w:rPr>
              <w:t>：按招标文件规定的收费标准下调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171979AD">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560A29AB">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投标产品为</w:t>
            </w:r>
            <w:r>
              <w:rPr>
                <w:rFonts w:hint="eastAsia" w:ascii="宋体" w:hAnsi="宋体" w:eastAsia="宋体" w:cs="宋体"/>
                <w:b/>
                <w:color w:val="auto"/>
                <w:sz w:val="24"/>
                <w:szCs w:val="24"/>
                <w:highlight w:val="none"/>
              </w:rPr>
              <w:t>小型企业或微型企业生产</w:t>
            </w:r>
            <w:r>
              <w:rPr>
                <w:rFonts w:hint="eastAsia" w:ascii="宋体" w:hAnsi="宋体" w:eastAsia="宋体" w:cs="宋体"/>
                <w:b/>
                <w:color w:val="auto"/>
                <w:spacing w:val="-4"/>
                <w:sz w:val="24"/>
                <w:szCs w:val="24"/>
                <w:highlight w:val="none"/>
              </w:rPr>
              <w:t>：</w:t>
            </w:r>
          </w:p>
          <w:p w14:paraId="26677CE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14:paraId="7BEF1F5D">
            <w:pPr>
              <w:pStyle w:val="5"/>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对其提供的小型或微型企业产品的投标报价给予20%的扣除，扣除后的价格作为该投标人的评标价参与价格评分。</w:t>
            </w:r>
          </w:p>
          <w:p w14:paraId="18FED7FF">
            <w:pPr>
              <w:pStyle w:val="5"/>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、采购代理机构应当对联合体或者大中型企业的报价给予6%的扣除，用扣除后的价格参加评审。</w:t>
            </w:r>
          </w:p>
          <w:p w14:paraId="18963B6C">
            <w:pPr>
              <w:pStyle w:val="11"/>
              <w:keepNext w:val="0"/>
              <w:keepLines w:val="0"/>
              <w:numPr>
                <w:ilvl w:val="-1"/>
                <w:numId w:val="0"/>
              </w:numPr>
              <w:suppressLineNumbers w:val="0"/>
              <w:spacing w:before="0" w:beforeAutospacing="0" w:after="0" w:afterAutospacing="0" w:line="360" w:lineRule="auto"/>
              <w:ind w:left="0" w:leftChars="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7816A5C7">
            <w:pPr>
              <w:pStyle w:val="5"/>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ascii="宋体" w:hAnsi="宋体" w:eastAsia="宋体" w:cs="宋体"/>
                <w:b w:val="0"/>
                <w:color w:val="auto"/>
                <w:sz w:val="24"/>
                <w:szCs w:val="24"/>
                <w:highlight w:val="none"/>
                <w:lang w:val="en-US" w:eastAsia="zh-CN"/>
              </w:rPr>
              <w:t>若本项目属于预留份额专门面向中小企业采购活动，</w:t>
            </w:r>
            <w:r>
              <w:rPr>
                <w:rFonts w:hint="eastAsia" w:ascii="宋体" w:hAnsi="宋体" w:eastAsia="宋体" w:cs="宋体"/>
                <w:color w:val="auto"/>
                <w:sz w:val="24"/>
                <w:szCs w:val="24"/>
                <w:highlight w:val="none"/>
              </w:rPr>
              <w:t>不再执行价格评审优惠的扶持政策。</w:t>
            </w:r>
          </w:p>
        </w:tc>
      </w:tr>
      <w:tr w14:paraId="3EC0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6D19400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7BCCABF6">
            <w:pPr>
              <w:pStyle w:val="9"/>
              <w:keepNext w:val="0"/>
              <w:keepLines w:val="0"/>
              <w:suppressLineNumbers w:val="0"/>
              <w:spacing w:before="0" w:beforeAutospacing="0" w:after="0" w:afterAutospacing="0" w:line="360" w:lineRule="auto"/>
              <w:ind w:left="0" w:right="0"/>
              <w:rPr>
                <w:rFonts w:hint="default" w:eastAsia="宋体"/>
                <w:color w:val="auto"/>
                <w:sz w:val="24"/>
                <w:szCs w:val="24"/>
                <w:highlight w:val="none"/>
              </w:rPr>
            </w:pPr>
            <w:r>
              <w:rPr>
                <w:rFonts w:hint="eastAsia" w:eastAsia="宋体"/>
                <w:color w:val="auto"/>
                <w:sz w:val="24"/>
                <w:szCs w:val="24"/>
                <w:highlight w:val="none"/>
              </w:rPr>
              <w:t>本项目对应的中小企业划分标准所属</w:t>
            </w:r>
            <w:r>
              <w:rPr>
                <w:rFonts w:hint="eastAsia" w:ascii="宋体" w:hAnsi="宋体" w:eastAsia="宋体" w:cs="宋体"/>
                <w:b/>
                <w:bCs/>
                <w:color w:val="auto"/>
                <w:sz w:val="24"/>
                <w:szCs w:val="24"/>
                <w:highlight w:val="none"/>
                <w:u w:val="single"/>
              </w:rPr>
              <w:t>工业</w:t>
            </w:r>
            <w:r>
              <w:rPr>
                <w:rFonts w:hint="eastAsia" w:eastAsia="宋体"/>
                <w:color w:val="auto"/>
                <w:sz w:val="24"/>
                <w:szCs w:val="24"/>
                <w:highlight w:val="none"/>
                <w:u w:val="single"/>
              </w:rPr>
              <w:t xml:space="preserve"> 行业。</w:t>
            </w:r>
          </w:p>
        </w:tc>
        <w:tc>
          <w:tcPr>
            <w:tcW w:w="6063" w:type="dxa"/>
            <w:tcBorders>
              <w:bottom w:val="single" w:color="auto" w:sz="4" w:space="0"/>
            </w:tcBorders>
            <w:noWrap w:val="0"/>
            <w:vAlign w:val="top"/>
          </w:tcPr>
          <w:p w14:paraId="2270030E">
            <w:pPr>
              <w:keepNext w:val="0"/>
              <w:keepLines w:val="0"/>
              <w:suppressLineNumbers w:val="0"/>
              <w:spacing w:before="0" w:beforeAutospacing="0" w:after="0" w:afterAutospacing="0" w:line="360" w:lineRule="auto"/>
              <w:ind w:left="0" w:right="0"/>
              <w:rPr>
                <w:rFonts w:hint="default"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6268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0BD0A8B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6867976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11ABAAF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083DA8C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1.投标人不符合“工信部联企业[2011]300号”规定的中小企业标准的；</w:t>
            </w:r>
          </w:p>
          <w:p w14:paraId="0ED40E2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2.投标货物全部或部分为使用大型企业注册商标的货物的；</w:t>
            </w:r>
          </w:p>
          <w:p w14:paraId="4EF8EFD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3.投标文件中标明的中小企业产品的制造商不符合“工信部联企业[2011]300号”规定的中小企业标准的；</w:t>
            </w:r>
          </w:p>
          <w:p w14:paraId="741BF69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78CF7B32">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0B8A862C">
      <w:pPr>
        <w:spacing w:line="360" w:lineRule="auto"/>
        <w:rPr>
          <w:rFonts w:hint="eastAsia" w:ascii="宋体" w:hAnsi="宋体" w:eastAsia="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43ACD6BF">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2D6F1CED">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69112DE0">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”号条款进行逐条响应，否则评标委员会对其投标做出不利评审，投标人必须自行承担责任。</w:t>
      </w:r>
    </w:p>
    <w:p w14:paraId="5EBD7A91">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72DBCAEB">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2A7F04B3">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6540F59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（5）资格性证明文件请单独成册。</w:t>
      </w:r>
    </w:p>
    <w:p w14:paraId="330432F9">
      <w:pPr>
        <w:pStyle w:val="6"/>
        <w:spacing w:after="0" w:line="360" w:lineRule="auto"/>
        <w:ind w:left="0"/>
        <w:rPr>
          <w:rFonts w:hint="eastAsia" w:ascii="宋体" w:hAnsi="宋体" w:eastAsia="宋体" w:cs="宋体"/>
          <w:b/>
          <w:bCs/>
          <w:color w:val="auto"/>
          <w:sz w:val="24"/>
          <w:szCs w:val="24"/>
          <w:highlight w:val="none"/>
        </w:rPr>
      </w:pPr>
    </w:p>
    <w:p w14:paraId="6BCA4B83">
      <w:pPr>
        <w:tabs>
          <w:tab w:val="left" w:pos="5130"/>
        </w:tabs>
        <w:spacing w:line="360" w:lineRule="auto"/>
        <w:ind w:firstLine="480" w:firstLineChars="200"/>
        <w:rPr>
          <w:rFonts w:hint="eastAsia" w:ascii="宋体" w:hAnsi="宋体" w:eastAsia="宋体" w:cs="宋体"/>
          <w:color w:val="auto"/>
          <w:sz w:val="24"/>
          <w:szCs w:val="24"/>
          <w:highlight w:val="none"/>
        </w:rPr>
      </w:pPr>
    </w:p>
    <w:p w14:paraId="28F1CF38">
      <w:pPr>
        <w:tabs>
          <w:tab w:val="left" w:pos="5130"/>
        </w:tabs>
        <w:spacing w:line="360" w:lineRule="auto"/>
        <w:ind w:firstLine="480" w:firstLineChars="200"/>
        <w:rPr>
          <w:rFonts w:hint="eastAsia" w:ascii="宋体" w:hAnsi="宋体" w:eastAsia="宋体" w:cs="宋体"/>
          <w:color w:val="auto"/>
          <w:sz w:val="24"/>
          <w:szCs w:val="24"/>
          <w:highlight w:val="none"/>
        </w:rPr>
      </w:pPr>
    </w:p>
    <w:p w14:paraId="596C674A">
      <w:pPr>
        <w:tabs>
          <w:tab w:val="left" w:pos="5130"/>
        </w:tabs>
        <w:spacing w:line="360" w:lineRule="auto"/>
        <w:ind w:firstLine="480" w:firstLineChars="200"/>
        <w:rPr>
          <w:rFonts w:hint="eastAsia" w:ascii="宋体" w:hAnsi="宋体" w:eastAsia="宋体" w:cs="宋体"/>
          <w:color w:val="auto"/>
          <w:sz w:val="24"/>
          <w:szCs w:val="24"/>
          <w:highlight w:val="none"/>
        </w:rPr>
      </w:pPr>
    </w:p>
    <w:p w14:paraId="4431EE0D">
      <w:pPr>
        <w:tabs>
          <w:tab w:val="left" w:pos="5130"/>
        </w:tabs>
        <w:spacing w:line="360" w:lineRule="auto"/>
        <w:ind w:firstLine="480" w:firstLineChars="200"/>
        <w:rPr>
          <w:rFonts w:hint="eastAsia" w:ascii="宋体" w:hAnsi="宋体" w:eastAsia="宋体" w:cs="宋体"/>
          <w:color w:val="auto"/>
          <w:sz w:val="24"/>
          <w:szCs w:val="24"/>
          <w:highlight w:val="none"/>
        </w:rPr>
      </w:pPr>
    </w:p>
    <w:p w14:paraId="41CCD062">
      <w:pPr>
        <w:tabs>
          <w:tab w:val="left" w:pos="5130"/>
        </w:tabs>
        <w:spacing w:line="360" w:lineRule="auto"/>
        <w:ind w:firstLine="480" w:firstLineChars="200"/>
        <w:rPr>
          <w:rFonts w:hint="eastAsia" w:ascii="宋体" w:hAnsi="宋体" w:eastAsia="宋体" w:cs="宋体"/>
          <w:color w:val="auto"/>
          <w:sz w:val="24"/>
          <w:szCs w:val="24"/>
          <w:highlight w:val="none"/>
        </w:rPr>
      </w:pPr>
    </w:p>
    <w:p w14:paraId="3DB671E0">
      <w:pPr>
        <w:tabs>
          <w:tab w:val="left" w:pos="5130"/>
        </w:tabs>
        <w:spacing w:line="360" w:lineRule="auto"/>
        <w:ind w:firstLine="480" w:firstLineChars="200"/>
        <w:rPr>
          <w:rFonts w:hint="eastAsia" w:ascii="宋体" w:hAnsi="宋体" w:eastAsia="宋体" w:cs="宋体"/>
          <w:color w:val="auto"/>
          <w:sz w:val="24"/>
          <w:szCs w:val="24"/>
          <w:highlight w:val="none"/>
        </w:rPr>
      </w:pPr>
    </w:p>
    <w:p w14:paraId="54486CCA">
      <w:pPr>
        <w:tabs>
          <w:tab w:val="left" w:pos="5130"/>
        </w:tabs>
        <w:spacing w:line="360" w:lineRule="auto"/>
        <w:ind w:firstLine="480" w:firstLineChars="200"/>
        <w:rPr>
          <w:rFonts w:hint="eastAsia" w:ascii="宋体" w:hAnsi="宋体" w:eastAsia="宋体" w:cs="宋体"/>
          <w:color w:val="auto"/>
          <w:sz w:val="24"/>
          <w:szCs w:val="24"/>
          <w:highlight w:val="none"/>
        </w:rPr>
      </w:pPr>
    </w:p>
    <w:p w14:paraId="6675E2D3">
      <w:pPr>
        <w:tabs>
          <w:tab w:val="left" w:pos="5130"/>
        </w:tabs>
        <w:spacing w:line="360" w:lineRule="auto"/>
        <w:ind w:firstLine="480" w:firstLineChars="200"/>
        <w:rPr>
          <w:rFonts w:hint="eastAsia" w:ascii="宋体" w:hAnsi="宋体" w:eastAsia="宋体" w:cs="宋体"/>
          <w:color w:val="auto"/>
          <w:sz w:val="24"/>
          <w:szCs w:val="24"/>
          <w:highlight w:val="none"/>
        </w:rPr>
      </w:pPr>
    </w:p>
    <w:p w14:paraId="08450421">
      <w:pPr>
        <w:tabs>
          <w:tab w:val="left" w:pos="5130"/>
        </w:tabs>
        <w:spacing w:line="360" w:lineRule="auto"/>
        <w:ind w:firstLine="480" w:firstLineChars="200"/>
        <w:rPr>
          <w:rFonts w:hint="eastAsia" w:ascii="宋体" w:hAnsi="宋体" w:eastAsia="宋体" w:cs="宋体"/>
          <w:color w:val="auto"/>
          <w:sz w:val="24"/>
          <w:szCs w:val="24"/>
          <w:highlight w:val="none"/>
        </w:rPr>
      </w:pPr>
    </w:p>
    <w:p w14:paraId="3D990FA5">
      <w:pPr>
        <w:tabs>
          <w:tab w:val="left" w:pos="5130"/>
        </w:tabs>
        <w:spacing w:line="360" w:lineRule="auto"/>
        <w:ind w:firstLine="480" w:firstLineChars="200"/>
        <w:rPr>
          <w:rFonts w:hint="eastAsia" w:ascii="宋体" w:hAnsi="宋体" w:eastAsia="宋体" w:cs="宋体"/>
          <w:color w:val="auto"/>
          <w:sz w:val="24"/>
          <w:szCs w:val="24"/>
          <w:highlight w:val="none"/>
        </w:rPr>
      </w:pPr>
    </w:p>
    <w:p w14:paraId="2B2AC357">
      <w:pPr>
        <w:tabs>
          <w:tab w:val="left" w:pos="5130"/>
        </w:tabs>
        <w:spacing w:line="360" w:lineRule="auto"/>
        <w:ind w:firstLine="480" w:firstLineChars="200"/>
        <w:rPr>
          <w:rFonts w:hint="eastAsia" w:ascii="宋体" w:hAnsi="宋体" w:eastAsia="宋体" w:cs="宋体"/>
          <w:color w:val="auto"/>
          <w:sz w:val="24"/>
          <w:szCs w:val="24"/>
          <w:highlight w:val="none"/>
        </w:rPr>
      </w:pPr>
    </w:p>
    <w:p w14:paraId="431B24FB">
      <w:pPr>
        <w:tabs>
          <w:tab w:val="left" w:pos="5130"/>
        </w:tabs>
        <w:spacing w:line="360" w:lineRule="auto"/>
        <w:ind w:firstLine="480" w:firstLineChars="200"/>
        <w:rPr>
          <w:rFonts w:hint="eastAsia" w:ascii="宋体" w:hAnsi="宋体" w:eastAsia="宋体" w:cs="宋体"/>
          <w:color w:val="auto"/>
          <w:sz w:val="24"/>
          <w:szCs w:val="24"/>
          <w:highlight w:val="none"/>
        </w:rPr>
      </w:pPr>
    </w:p>
    <w:p w14:paraId="6DCB1DFE">
      <w:pPr>
        <w:tabs>
          <w:tab w:val="left" w:pos="5130"/>
        </w:tabs>
        <w:spacing w:line="360" w:lineRule="auto"/>
        <w:ind w:firstLine="480" w:firstLineChars="200"/>
        <w:rPr>
          <w:rFonts w:hint="eastAsia" w:ascii="宋体" w:hAnsi="宋体" w:eastAsia="宋体" w:cs="宋体"/>
          <w:color w:val="auto"/>
          <w:sz w:val="24"/>
          <w:szCs w:val="24"/>
          <w:highlight w:val="none"/>
        </w:rPr>
      </w:pPr>
    </w:p>
    <w:p w14:paraId="10D02894">
      <w:pPr>
        <w:tabs>
          <w:tab w:val="left" w:pos="5130"/>
        </w:tabs>
        <w:spacing w:line="360" w:lineRule="auto"/>
        <w:ind w:firstLine="480" w:firstLineChars="200"/>
        <w:rPr>
          <w:rFonts w:hint="eastAsia" w:ascii="宋体" w:hAnsi="宋体" w:eastAsia="宋体" w:cs="宋体"/>
          <w:color w:val="auto"/>
          <w:sz w:val="24"/>
          <w:szCs w:val="24"/>
          <w:highlight w:val="none"/>
        </w:rPr>
      </w:pPr>
    </w:p>
    <w:p w14:paraId="606DF2CC">
      <w:pPr>
        <w:tabs>
          <w:tab w:val="left" w:pos="5130"/>
        </w:tabs>
        <w:spacing w:line="360" w:lineRule="auto"/>
        <w:ind w:firstLine="480" w:firstLineChars="200"/>
        <w:rPr>
          <w:rFonts w:hint="eastAsia" w:ascii="宋体" w:hAnsi="宋体" w:eastAsia="宋体" w:cs="宋体"/>
          <w:color w:val="auto"/>
          <w:sz w:val="24"/>
          <w:szCs w:val="24"/>
          <w:highlight w:val="none"/>
        </w:rPr>
      </w:pPr>
    </w:p>
    <w:p w14:paraId="6CC51E7F">
      <w:pPr>
        <w:tabs>
          <w:tab w:val="left" w:pos="5130"/>
        </w:tabs>
        <w:spacing w:line="360" w:lineRule="auto"/>
        <w:rPr>
          <w:rFonts w:hint="eastAsia" w:ascii="宋体" w:hAnsi="宋体" w:eastAsia="宋体" w:cs="宋体"/>
          <w:color w:val="auto"/>
          <w:sz w:val="24"/>
          <w:szCs w:val="24"/>
          <w:highlight w:val="none"/>
        </w:rPr>
      </w:pPr>
    </w:p>
    <w:p w14:paraId="3D30B4BD">
      <w:pPr>
        <w:tabs>
          <w:tab w:val="left" w:pos="5130"/>
        </w:tabs>
        <w:spacing w:line="360" w:lineRule="auto"/>
        <w:rPr>
          <w:rFonts w:hint="eastAsia" w:ascii="宋体" w:hAnsi="宋体" w:eastAsia="宋体" w:cs="宋体"/>
          <w:color w:val="auto"/>
          <w:sz w:val="24"/>
          <w:szCs w:val="24"/>
          <w:highlight w:val="none"/>
        </w:rPr>
      </w:pPr>
    </w:p>
    <w:p w14:paraId="0C2BC1D7">
      <w:pPr>
        <w:tabs>
          <w:tab w:val="left" w:pos="5130"/>
        </w:tabs>
        <w:spacing w:line="360" w:lineRule="auto"/>
        <w:rPr>
          <w:rFonts w:hint="eastAsia" w:ascii="宋体" w:hAnsi="宋体" w:eastAsia="宋体" w:cs="宋体"/>
          <w:color w:val="auto"/>
          <w:sz w:val="24"/>
          <w:szCs w:val="24"/>
          <w:highlight w:val="none"/>
        </w:rPr>
      </w:pPr>
    </w:p>
    <w:p w14:paraId="6E8E5ADA">
      <w:pPr>
        <w:tabs>
          <w:tab w:val="left" w:pos="5130"/>
        </w:tabs>
        <w:spacing w:line="360" w:lineRule="auto"/>
        <w:rPr>
          <w:rFonts w:hint="eastAsia" w:ascii="宋体" w:hAnsi="宋体" w:eastAsia="宋体" w:cs="宋体"/>
          <w:color w:val="auto"/>
          <w:sz w:val="24"/>
          <w:szCs w:val="24"/>
          <w:highlight w:val="none"/>
        </w:rPr>
      </w:pPr>
    </w:p>
    <w:p w14:paraId="664ACD1F">
      <w:pPr>
        <w:pStyle w:val="18"/>
        <w:spacing w:line="360" w:lineRule="auto"/>
        <w:jc w:val="both"/>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一、项目概况（采购标的）</w:t>
      </w:r>
    </w:p>
    <w:p w14:paraId="40098E24">
      <w:pPr>
        <w:pStyle w:val="18"/>
        <w:spacing w:line="360" w:lineRule="auto"/>
        <w:ind w:right="30" w:firstLine="588"/>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1.采购内容（详见采购清单附件一,样品清单及说明详见附件二）。</w:t>
      </w:r>
    </w:p>
    <w:p w14:paraId="6B2FECF8">
      <w:pPr>
        <w:pStyle w:val="18"/>
        <w:spacing w:line="360" w:lineRule="auto"/>
        <w:ind w:firstLine="481"/>
        <w:jc w:val="both"/>
        <w:rPr>
          <w:rFonts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2</w:t>
      </w:r>
      <w:r>
        <w:rPr>
          <w:rFonts w:ascii="宋体" w:hAnsi="宋体" w:eastAsia="宋体" w:cs="宋体"/>
          <w:b w:val="0"/>
          <w:bCs/>
          <w:color w:val="auto"/>
          <w:sz w:val="24"/>
          <w:szCs w:val="24"/>
          <w:highlight w:val="none"/>
        </w:rPr>
        <w:t>.上述清单中的家具需与学校现有的办公家具配套，颜色、款式、质量由投标人提供，经采购人验收合格同意后方可生产供应，投标人不得提出任何异议。</w:t>
      </w:r>
    </w:p>
    <w:p w14:paraId="0675B6D8">
      <w:pPr>
        <w:pStyle w:val="18"/>
        <w:spacing w:line="360" w:lineRule="auto"/>
        <w:ind w:firstLine="0"/>
        <w:jc w:val="both"/>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二、技术和服务要求（以“★”标示的内容为不允许负偏离的实质性要求）</w:t>
      </w:r>
    </w:p>
    <w:p w14:paraId="04F6C65E">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1．中标供应商生产前提供具体图纸供采购人确认方可生产，价格不得调整。</w:t>
      </w:r>
    </w:p>
    <w:p w14:paraId="05592DDF">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2．投标人应严格按照采购文件的规格、数量、技术及材质等要求进行报价。</w:t>
      </w:r>
    </w:p>
    <w:p w14:paraId="58A31CA0">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3．投标人应在投标文件中提供主要生产设备清单（需提供主要生产加工设备、产地、数量、价值）。</w:t>
      </w:r>
    </w:p>
    <w:p w14:paraId="25585136">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4．投标人应在投标文件中提供质量管理、技术力量说明（主要生产技术骨干、质管人员的数量和职称）。</w:t>
      </w:r>
    </w:p>
    <w:p w14:paraId="008A4324">
      <w:pPr>
        <w:spacing w:line="360" w:lineRule="auto"/>
        <w:ind w:firstLine="480" w:firstLineChars="200"/>
        <w:rPr>
          <w:rFonts w:ascii="宋体" w:hAnsi="宋体" w:eastAsia="宋体" w:cs="宋体"/>
          <w:color w:val="auto"/>
          <w:sz w:val="24"/>
          <w:szCs w:val="24"/>
          <w:highlight w:val="none"/>
        </w:rPr>
      </w:pPr>
      <w:r>
        <w:rPr>
          <w:rFonts w:ascii="宋体" w:hAnsi="宋体" w:eastAsia="宋体" w:cs="宋体"/>
          <w:b w:val="0"/>
          <w:bCs/>
          <w:color w:val="auto"/>
          <w:sz w:val="24"/>
          <w:szCs w:val="24"/>
          <w:highlight w:val="none"/>
        </w:rPr>
        <w:t>5．投标人应根据国家标准</w:t>
      </w:r>
      <w:r>
        <w:rPr>
          <w:rFonts w:hint="eastAsia" w:ascii="宋体" w:hAnsi="宋体" w:eastAsia="宋体" w:cs="宋体"/>
          <w:b w:val="0"/>
          <w:bCs/>
          <w:color w:val="auto"/>
          <w:sz w:val="24"/>
          <w:szCs w:val="24"/>
          <w:highlight w:val="none"/>
          <w:lang w:eastAsia="zh-CN"/>
        </w:rPr>
        <w:t>：</w:t>
      </w:r>
      <w:r>
        <w:rPr>
          <w:rFonts w:ascii="宋体" w:hAnsi="宋体" w:eastAsia="宋体" w:cs="宋体"/>
          <w:color w:val="auto"/>
          <w:sz w:val="24"/>
          <w:szCs w:val="24"/>
          <w:highlight w:val="none"/>
        </w:rPr>
        <w:t>符合相关国家、行业等标准，包括但不限于以下标准：</w:t>
      </w:r>
    </w:p>
    <w:p w14:paraId="67D7039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.1供应商提供的货物制造标准、安装标准及技术规范等，须符合如下国家相关标准要求：</w:t>
      </w:r>
    </w:p>
    <w:p w14:paraId="6242399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.1.1GB 18584-2024《家具中有害物质限量》；</w:t>
      </w:r>
    </w:p>
    <w:p w14:paraId="419B4CC5">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.1.2GB 18580-2017《人造板及其制品中甲醛释放限量》；</w:t>
      </w:r>
    </w:p>
    <w:p w14:paraId="6408242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.1.3GB 28008-2024《家具结构安全技术规范》；</w:t>
      </w:r>
    </w:p>
    <w:p w14:paraId="205DD7E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.1.4GB/T 3324-2024《木家具通用技术条件》；</w:t>
      </w:r>
    </w:p>
    <w:p w14:paraId="4223B84C">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.1.5GB/T 3325-2024 《金属家具通用技术条件》；</w:t>
      </w:r>
    </w:p>
    <w:p w14:paraId="40384AB6">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.1.6GB/T 9846-2015《普通胶合板》；</w:t>
      </w:r>
    </w:p>
    <w:p w14:paraId="16A8A54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.1.7GB/T 23999-2009《室内装饰装修用水性木器涂料》；</w:t>
      </w:r>
    </w:p>
    <w:p w14:paraId="4259ADE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.1.8GB/T 17657-2022《人造板及饰面人造板理化性能试验方法》；</w:t>
      </w:r>
    </w:p>
    <w:p w14:paraId="597FCF6C">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.1.9GB 18583-2008《室内装饰装修材料 胶粘剂中有害物质限量》；</w:t>
      </w:r>
    </w:p>
    <w:p w14:paraId="16B67C19">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.1.10GB 18581-2020 《木器涂料中有害物质限量》；</w:t>
      </w:r>
    </w:p>
    <w:p w14:paraId="5B9E7253">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.1.11GB 5296.6-2004 《消费品使用说明 第6部分：家具》；</w:t>
      </w:r>
    </w:p>
    <w:p w14:paraId="453FA1B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.1.12QB/T 1951.1-2010《木家具 质量检验及质量评定》；</w:t>
      </w:r>
    </w:p>
    <w:p w14:paraId="2CC4B83F">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.1.13QB/T 2280-2016《办公家具 办公椅》；</w:t>
      </w:r>
    </w:p>
    <w:p w14:paraId="04CA28D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.1.14HJ571-2010《环境标志产品技术要求 人造板及其制品》；</w:t>
      </w:r>
    </w:p>
    <w:p w14:paraId="6BD83ED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.1.15其他国家及行业标准</w:t>
      </w:r>
    </w:p>
    <w:p w14:paraId="6A8516B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上述标准在合同履行期间若有更新，或者有出台新的标准，供应商需按新的标准执行。供应商须对上述要求提供书面承诺</w:t>
      </w:r>
      <w:r>
        <w:rPr>
          <w:rFonts w:hint="eastAsia" w:ascii="宋体" w:hAnsi="宋体" w:cs="宋体"/>
          <w:bCs/>
          <w:color w:val="auto"/>
          <w:sz w:val="24"/>
          <w:szCs w:val="24"/>
          <w:highlight w:val="none"/>
          <w:lang w:val="en-US" w:eastAsia="zh-CN"/>
        </w:rPr>
        <w:t>函</w:t>
      </w:r>
      <w:r>
        <w:rPr>
          <w:rFonts w:hint="eastAsia" w:ascii="宋体" w:hAnsi="宋体" w:eastAsia="宋体" w:cs="宋体"/>
          <w:bCs/>
          <w:color w:val="auto"/>
          <w:sz w:val="24"/>
          <w:szCs w:val="24"/>
          <w:highlight w:val="none"/>
        </w:rPr>
        <w:t>。</w:t>
      </w:r>
    </w:p>
    <w:p w14:paraId="38B36EF3">
      <w:pPr>
        <w:spacing w:line="360" w:lineRule="auto"/>
        <w:ind w:firstLine="480" w:firstLineChars="200"/>
        <w:rPr>
          <w:rFonts w:ascii="宋体" w:hAnsi="宋体" w:eastAsia="宋体" w:cs="宋体"/>
          <w:bCs/>
          <w:color w:val="auto"/>
          <w:sz w:val="24"/>
          <w:szCs w:val="24"/>
          <w:highlight w:val="none"/>
        </w:rPr>
      </w:pPr>
    </w:p>
    <w:p w14:paraId="60B3ED83">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6．投标人需在投标文件中提供上述货物的实物图、效果图、生产分解图、货物选用材料的说明文件。图号所指货物详见采购文件所附图纸，投标人应自行到现场进行测量。</w:t>
      </w:r>
    </w:p>
    <w:p w14:paraId="4114AB99">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7．投标人需将以上货物的参考指标与所报货物的技术指标、参数，在投标文件中分别列出，一一对应。</w:t>
      </w:r>
    </w:p>
    <w:p w14:paraId="3A503060">
      <w:pPr>
        <w:pStyle w:val="18"/>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★8.投标人在递交投标文件时应提供以下样品：按附件二的要求提供样品。</w:t>
      </w:r>
    </w:p>
    <w:p w14:paraId="48FC465A">
      <w:pPr>
        <w:pStyle w:val="18"/>
        <w:spacing w:line="360" w:lineRule="auto"/>
        <w:ind w:firstLine="470"/>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9.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w:t>
      </w:r>
      <w:r>
        <w:rPr>
          <w:rFonts w:hint="eastAsia" w:ascii="宋体" w:hAnsi="宋体" w:eastAsia="宋体" w:cs="宋体"/>
          <w:b/>
          <w:color w:val="auto"/>
          <w:sz w:val="24"/>
          <w:szCs w:val="24"/>
          <w:highlight w:val="none"/>
          <w:lang w:val="en-US" w:eastAsia="zh-CN"/>
        </w:rPr>
        <w:t>投标</w:t>
      </w:r>
      <w:r>
        <w:rPr>
          <w:rFonts w:ascii="宋体" w:hAnsi="宋体" w:eastAsia="宋体" w:cs="宋体"/>
          <w:b/>
          <w:color w:val="auto"/>
          <w:sz w:val="24"/>
          <w:szCs w:val="24"/>
          <w:highlight w:val="none"/>
        </w:rPr>
        <w:t>截止时间前，送至</w:t>
      </w:r>
      <w:r>
        <w:rPr>
          <w:rFonts w:ascii="宋体" w:hAnsi="宋体" w:eastAsia="宋体" w:cs="宋体"/>
          <w:b/>
          <w:color w:val="auto"/>
          <w:sz w:val="24"/>
          <w:szCs w:val="24"/>
          <w:highlight w:val="none"/>
          <w:u w:val="single"/>
        </w:rPr>
        <w:t>厦门市湖里区云顶北路842号厦门市政务服务中心负一楼样品间</w:t>
      </w:r>
      <w:r>
        <w:rPr>
          <w:rFonts w:ascii="宋体" w:hAnsi="宋体" w:eastAsia="宋体" w:cs="宋体"/>
          <w:b/>
          <w:color w:val="auto"/>
          <w:sz w:val="24"/>
          <w:szCs w:val="24"/>
          <w:highlight w:val="none"/>
        </w:rPr>
        <w:t>。</w:t>
      </w:r>
    </w:p>
    <w:p w14:paraId="4DE98227">
      <w:pPr>
        <w:pStyle w:val="18"/>
        <w:spacing w:line="360" w:lineRule="auto"/>
        <w:ind w:firstLine="470"/>
        <w:jc w:val="left"/>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66C3D365">
      <w:pPr>
        <w:pStyle w:val="18"/>
        <w:spacing w:line="360" w:lineRule="auto"/>
        <w:ind w:firstLine="470"/>
        <w:jc w:val="left"/>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1.</w:t>
      </w:r>
      <w:r>
        <w:rPr>
          <w:rFonts w:ascii="宋体" w:hAnsi="宋体" w:eastAsia="宋体" w:cs="宋体"/>
          <w:b/>
          <w:color w:val="auto"/>
          <w:sz w:val="24"/>
          <w:szCs w:val="24"/>
          <w:highlight w:val="none"/>
        </w:rPr>
        <w:t>投标人提供的成品样需在投标截止时间前，在样品室摆放到位。</w:t>
      </w:r>
    </w:p>
    <w:p w14:paraId="0B4BC38A">
      <w:pPr>
        <w:pStyle w:val="18"/>
        <w:spacing w:line="360" w:lineRule="auto"/>
        <w:ind w:firstLine="481"/>
        <w:jc w:val="both"/>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2.由于市行政服务中心地下停车库不让限高&gt;2米车辆进入，因此送样品的车辆限高≦2米。不遵守此规定，后果自负。</w:t>
      </w:r>
    </w:p>
    <w:p w14:paraId="54B95AC3">
      <w:pPr>
        <w:pStyle w:val="18"/>
        <w:spacing w:line="360" w:lineRule="auto"/>
        <w:ind w:firstLine="482"/>
        <w:jc w:val="both"/>
        <w:rPr>
          <w:rFonts w:ascii="宋体" w:hAnsi="宋体" w:eastAsia="宋体" w:cs="宋体"/>
          <w:color w:val="auto"/>
          <w:sz w:val="24"/>
          <w:szCs w:val="24"/>
          <w:highlight w:val="none"/>
        </w:rPr>
      </w:pPr>
    </w:p>
    <w:p w14:paraId="0C03B9C4">
      <w:pPr>
        <w:pStyle w:val="18"/>
        <w:spacing w:line="360" w:lineRule="auto"/>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shd w:val="clear" w:fill="FFFFFF"/>
        </w:rPr>
        <w:t>三、商务响应要求</w:t>
      </w:r>
    </w:p>
    <w:p w14:paraId="1A73BCDC">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投标人应在投标文件中提供最近三年来在中国，类似项目的合同业绩证明材料（提供项目中标公告或中标通知书及合同复印件等，加盖单位公章，原件备查），需提供项目名称、合同金额、中标日期、联系人、用户反馈意见。</w:t>
      </w:r>
    </w:p>
    <w:p w14:paraId="2C3B752C">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2.投标人应在投标文件中书面承诺自身已经具备自行生产所报价的全系列产品的能力。</w:t>
      </w:r>
    </w:p>
    <w:p w14:paraId="228F9E2B">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3.投标人应在投标文件中提供近三年以来地级市以上质量检测单位出具的成品抽样检测报告。</w:t>
      </w:r>
    </w:p>
    <w:p w14:paraId="1EB48AA2">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4.投标人应在投标文件中提供生产合同管理计划保证书一份。</w:t>
      </w:r>
    </w:p>
    <w:p w14:paraId="2176A20E">
      <w:pPr>
        <w:pStyle w:val="18"/>
        <w:spacing w:line="360" w:lineRule="auto"/>
        <w:ind w:left="-180" w:right="360" w:firstLine="361"/>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四、货物质量标准、验收标准</w:t>
      </w:r>
    </w:p>
    <w:p w14:paraId="7C2F96EA">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1．投标人提供货物的制造标准、安装标准、验收标准及技术规范等有关资料应符合国家规定的有关标准、规范要求。</w:t>
      </w:r>
    </w:p>
    <w:p w14:paraId="38E64EE2">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2．投标人应保证提供原产、正宗品牌货物，不得用伪劣货物替代；如出现上述质量问题采购人有权退货并解除合同。</w:t>
      </w:r>
    </w:p>
    <w:p w14:paraId="400386E0">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3．在生产过程或验收过程中发现中标供应商对</w:t>
      </w:r>
      <w:r>
        <w:rPr>
          <w:rFonts w:hint="eastAsia" w:ascii="宋体" w:hAnsi="宋体" w:eastAsia="宋体" w:cs="宋体"/>
          <w:b w:val="0"/>
          <w:bCs/>
          <w:color w:val="auto"/>
          <w:sz w:val="24"/>
          <w:szCs w:val="24"/>
          <w:highlight w:val="none"/>
          <w:lang w:val="en-US" w:eastAsia="zh-CN"/>
        </w:rPr>
        <w:t>中标</w:t>
      </w:r>
      <w:r>
        <w:rPr>
          <w:rFonts w:ascii="宋体" w:hAnsi="宋体" w:eastAsia="宋体" w:cs="宋体"/>
          <w:b w:val="0"/>
          <w:bCs/>
          <w:color w:val="auto"/>
          <w:sz w:val="24"/>
          <w:szCs w:val="24"/>
          <w:highlight w:val="none"/>
        </w:rPr>
        <w:t>货物进行分包、转包，采购人有权单方解除合同并有权拒付全部货款。</w:t>
      </w:r>
    </w:p>
    <w:p w14:paraId="7B68E063">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4．货物安装所需的配件或附加件，在合同签订前由中标供应商提交具体清单给采购人确认。</w:t>
      </w:r>
    </w:p>
    <w:p w14:paraId="088D4B3A">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5.中标后生产前，向采购人确定所供货物的相关事项，经采购人书面确认是否增减后方可投入生产。否则，由此产生的一切后果由投标人负责。</w:t>
      </w:r>
    </w:p>
    <w:p w14:paraId="5F0D254E">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货物初验：货物运抵采购人指定地点后由采购人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43AF85D9">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7.最终验收：中标供应商负责现场安装、调试，待性能指标经验收合格后（附验收报告），中标供应商应与采购人共同签署《厦门市政府采购验收报告》。</w:t>
      </w:r>
    </w:p>
    <w:p w14:paraId="6508E7E0">
      <w:pPr>
        <w:pStyle w:val="18"/>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★8.投标人必须在投标文件中</w:t>
      </w:r>
      <w:r>
        <w:rPr>
          <w:rFonts w:hint="eastAsia" w:ascii="宋体" w:hAnsi="宋体" w:eastAsia="宋体" w:cs="宋体"/>
          <w:b/>
          <w:color w:val="auto"/>
          <w:sz w:val="24"/>
          <w:szCs w:val="24"/>
          <w:highlight w:val="none"/>
          <w:lang w:val="en-US" w:eastAsia="zh-CN"/>
        </w:rPr>
        <w:t>提供</w:t>
      </w:r>
      <w:r>
        <w:rPr>
          <w:rFonts w:ascii="宋体" w:hAnsi="宋体" w:eastAsia="宋体" w:cs="宋体"/>
          <w:b/>
          <w:color w:val="auto"/>
          <w:sz w:val="24"/>
          <w:szCs w:val="24"/>
          <w:highlight w:val="none"/>
        </w:rPr>
        <w:t>书面承诺</w:t>
      </w:r>
      <w:r>
        <w:rPr>
          <w:rFonts w:hint="eastAsia" w:ascii="宋体" w:hAnsi="宋体" w:eastAsia="宋体" w:cs="宋体"/>
          <w:b/>
          <w:color w:val="auto"/>
          <w:sz w:val="24"/>
          <w:szCs w:val="24"/>
          <w:highlight w:val="none"/>
          <w:lang w:val="en-US" w:eastAsia="zh-CN"/>
        </w:rPr>
        <w:t>函</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ascii="宋体" w:hAnsi="宋体" w:eastAsia="宋体" w:cs="宋体"/>
          <w:b/>
          <w:color w:val="auto"/>
          <w:sz w:val="24"/>
          <w:szCs w:val="24"/>
          <w:highlight w:val="none"/>
        </w:rPr>
        <w:t>：一旦中标，在生产本次采购家具的过程中，邀请采购人代表到工厂对产品从进料、开胚、上漆、成型等一系列生产程序进行检查、监督；采购人根据合同进度可以采用书面函件形式要求投标人对生产情况合理改进，投标人应予书面答复，并制定完整的整改措施。</w:t>
      </w:r>
    </w:p>
    <w:p w14:paraId="715669B5">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9.投标人不得虚报各项技术指标，</w:t>
      </w:r>
      <w:r>
        <w:rPr>
          <w:rFonts w:hint="eastAsia" w:ascii="宋体" w:hAnsi="宋体" w:eastAsia="宋体" w:cs="宋体"/>
          <w:b w:val="0"/>
          <w:bCs/>
          <w:color w:val="auto"/>
          <w:sz w:val="24"/>
          <w:szCs w:val="24"/>
          <w:highlight w:val="none"/>
          <w:lang w:val="en-US" w:eastAsia="zh-CN"/>
        </w:rPr>
        <w:t>中标</w:t>
      </w:r>
      <w:r>
        <w:rPr>
          <w:rFonts w:ascii="宋体" w:hAnsi="宋体" w:eastAsia="宋体" w:cs="宋体"/>
          <w:b w:val="0"/>
          <w:bCs/>
          <w:color w:val="auto"/>
          <w:sz w:val="24"/>
          <w:szCs w:val="24"/>
          <w:highlight w:val="none"/>
        </w:rPr>
        <w:t>产品若不能符合技术要求、采购文件及合同约定的，采购人有权退货并单方解除合同，中标供应商除退还所有的货款外，还应向支付合同总价50%的违约金。</w:t>
      </w:r>
    </w:p>
    <w:p w14:paraId="12FF4FBD">
      <w:pPr>
        <w:pStyle w:val="18"/>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★10.投标人必须在投标文件</w:t>
      </w:r>
      <w:r>
        <w:rPr>
          <w:rFonts w:hint="eastAsia" w:ascii="宋体" w:hAnsi="宋体" w:eastAsia="宋体" w:cs="宋体"/>
          <w:b/>
          <w:color w:val="auto"/>
          <w:sz w:val="24"/>
          <w:szCs w:val="24"/>
          <w:highlight w:val="none"/>
          <w:lang w:val="en-US" w:eastAsia="zh-CN"/>
        </w:rPr>
        <w:t>提供</w:t>
      </w:r>
      <w:r>
        <w:rPr>
          <w:rFonts w:ascii="宋体" w:hAnsi="宋体" w:eastAsia="宋体" w:cs="宋体"/>
          <w:b/>
          <w:color w:val="auto"/>
          <w:sz w:val="24"/>
          <w:szCs w:val="24"/>
          <w:highlight w:val="none"/>
        </w:rPr>
        <w:t>书面承诺</w:t>
      </w:r>
      <w:r>
        <w:rPr>
          <w:rFonts w:hint="eastAsia" w:ascii="宋体" w:hAnsi="宋体" w:eastAsia="宋体" w:cs="宋体"/>
          <w:b/>
          <w:color w:val="auto"/>
          <w:sz w:val="24"/>
          <w:szCs w:val="24"/>
          <w:highlight w:val="none"/>
          <w:lang w:val="en-US" w:eastAsia="zh-CN"/>
        </w:rPr>
        <w:t>函</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格式自拟</w:t>
      </w:r>
      <w:r>
        <w:rPr>
          <w:rFonts w:hint="eastAsia" w:ascii="宋体" w:hAnsi="宋体" w:eastAsia="宋体" w:cs="宋体"/>
          <w:b/>
          <w:color w:val="auto"/>
          <w:sz w:val="24"/>
          <w:szCs w:val="24"/>
          <w:highlight w:val="none"/>
          <w:lang w:eastAsia="zh-CN"/>
        </w:rPr>
        <w:t>）</w:t>
      </w:r>
      <w:r>
        <w:rPr>
          <w:rFonts w:ascii="宋体" w:hAnsi="宋体" w:eastAsia="宋体" w:cs="宋体"/>
          <w:b/>
          <w:color w:val="auto"/>
          <w:sz w:val="24"/>
          <w:szCs w:val="24"/>
          <w:highlight w:val="none"/>
        </w:rPr>
        <w:t>：一旦</w:t>
      </w:r>
      <w:r>
        <w:rPr>
          <w:rFonts w:hint="eastAsia" w:ascii="宋体" w:hAnsi="宋体" w:eastAsia="宋体" w:cs="宋体"/>
          <w:b/>
          <w:color w:val="auto"/>
          <w:sz w:val="24"/>
          <w:szCs w:val="24"/>
          <w:highlight w:val="none"/>
          <w:lang w:val="en-US" w:eastAsia="zh-CN"/>
        </w:rPr>
        <w:t>中标</w:t>
      </w:r>
      <w:r>
        <w:rPr>
          <w:rFonts w:ascii="宋体" w:hAnsi="宋体" w:eastAsia="宋体" w:cs="宋体"/>
          <w:b/>
          <w:color w:val="auto"/>
          <w:sz w:val="24"/>
          <w:szCs w:val="24"/>
          <w:highlight w:val="none"/>
        </w:rPr>
        <w:t>，在保证按招标文件中要求提供的产品数量进行供货外，还应保证能够免费提供足够的样品供采购人邀请相关部门对其在封闭式的环境中进行开放性的检测；如经检测家具环保等指标达不到国家以及招标文件中的要求，投标人应按成交价的2倍金额赔偿给采购人</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并要求更换符合要求的产品</w:t>
      </w:r>
      <w:r>
        <w:rPr>
          <w:rFonts w:ascii="宋体" w:hAnsi="宋体" w:eastAsia="宋体" w:cs="宋体"/>
          <w:b/>
          <w:color w:val="auto"/>
          <w:sz w:val="24"/>
          <w:szCs w:val="24"/>
          <w:highlight w:val="none"/>
        </w:rPr>
        <w:t>。</w:t>
      </w:r>
    </w:p>
    <w:p w14:paraId="3CA44599">
      <w:pPr>
        <w:pStyle w:val="18"/>
        <w:spacing w:line="360" w:lineRule="auto"/>
        <w:ind w:left="-180" w:right="360" w:firstLine="361"/>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五、货物技术服务要求</w:t>
      </w:r>
    </w:p>
    <w:p w14:paraId="3B95E773">
      <w:pPr>
        <w:pStyle w:val="18"/>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★1.投标人应在投标文件中提供详细的质量保证期及售后服务方案承诺，并加盖单位公章。承诺至少应包含以下内容①所有货物质量保证期至少为</w:t>
      </w:r>
      <w:r>
        <w:rPr>
          <w:rFonts w:hint="eastAsia" w:ascii="宋体" w:hAnsi="宋体" w:eastAsia="宋体" w:cs="宋体"/>
          <w:b/>
          <w:color w:val="auto"/>
          <w:sz w:val="24"/>
          <w:szCs w:val="24"/>
          <w:highlight w:val="none"/>
          <w:lang w:val="en-US" w:eastAsia="zh-CN"/>
        </w:rPr>
        <w:t>5</w:t>
      </w:r>
      <w:r>
        <w:rPr>
          <w:rFonts w:ascii="宋体" w:hAnsi="宋体" w:eastAsia="宋体" w:cs="宋体"/>
          <w:b/>
          <w:color w:val="auto"/>
          <w:sz w:val="24"/>
          <w:szCs w:val="24"/>
          <w:highlight w:val="none"/>
        </w:rPr>
        <w:t>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w:t>
      </w:r>
      <w:r>
        <w:rPr>
          <w:rFonts w:hint="eastAsia" w:ascii="宋体" w:hAnsi="宋体" w:eastAsia="宋体" w:cs="宋体"/>
          <w:b/>
          <w:color w:val="auto"/>
          <w:sz w:val="24"/>
          <w:szCs w:val="24"/>
          <w:highlight w:val="none"/>
          <w:lang w:val="en-US" w:eastAsia="zh-CN"/>
        </w:rPr>
        <w:t>一</w:t>
      </w:r>
      <w:r>
        <w:rPr>
          <w:rFonts w:ascii="宋体" w:hAnsi="宋体" w:eastAsia="宋体" w:cs="宋体"/>
          <w:b/>
          <w:color w:val="auto"/>
          <w:sz w:val="24"/>
          <w:szCs w:val="24"/>
          <w:highlight w:val="none"/>
        </w:rPr>
        <w:t>名专人与采购人建立服务联系。</w:t>
      </w:r>
    </w:p>
    <w:p w14:paraId="742BDD08">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人确认后结算（结算金额不超过此项报价）。投标人应提供免费技术支持力度等情况。</w:t>
      </w:r>
    </w:p>
    <w:p w14:paraId="410A1848">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3.投标人能长期提供良好的技术支持及备品备件的优惠供应。</w:t>
      </w:r>
    </w:p>
    <w:p w14:paraId="7CDA1390">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4.投标人如有其它更好的售后服务应在方案中书面声明。</w:t>
      </w:r>
    </w:p>
    <w:p w14:paraId="3CF00191">
      <w:pPr>
        <w:pStyle w:val="18"/>
        <w:spacing w:line="360" w:lineRule="auto"/>
        <w:ind w:right="3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六、货物投标报价</w:t>
      </w:r>
    </w:p>
    <w:p w14:paraId="0FA1072A">
      <w:pPr>
        <w:pStyle w:val="18"/>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投标人须以人民币报价且报价总价应含货物费、运至采购人指定地点的运输费、保险费和伴随服务费（包括产品检验检测）、安装调试（包括安装所需的辅材、配件等）费用、税收及售后服务等一切与完成本项目相关的费用，报价方式为指定目的地价。一旦中标，合同价款将不予调整。采购人不接受有选择的报价。</w:t>
      </w:r>
    </w:p>
    <w:p w14:paraId="16B3CCD0">
      <w:pPr>
        <w:pStyle w:val="18"/>
        <w:spacing w:line="360" w:lineRule="auto"/>
        <w:ind w:right="3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七、付款方式</w:t>
      </w:r>
    </w:p>
    <w:p w14:paraId="34049DFC">
      <w:pPr>
        <w:pStyle w:val="18"/>
        <w:spacing w:line="360" w:lineRule="auto"/>
        <w:ind w:firstLine="378"/>
        <w:jc w:val="both"/>
        <w:rPr>
          <w:rFonts w:hint="eastAsia"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rPr>
        <w:t>合同签订后</w:t>
      </w:r>
      <w:r>
        <w:rPr>
          <w:rFonts w:hint="default"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rPr>
        <w:t>依据财政拨款进度，买方向卖方支付合同总价50%的预付款。卖方供货安装、调试完毕，买方验收合格后，卖方开具合同总价100%的正规发票（即中标金额的</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%）、《厦门市政府采购验收报告》和全部货物清单给买方，买方收到最终用户货款后凭发票及验收报告支付至本合同总价100%的款项（即中标金额的</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w:t>
      </w:r>
    </w:p>
    <w:p w14:paraId="6AF6DEA3">
      <w:pPr>
        <w:pStyle w:val="18"/>
        <w:spacing w:line="360" w:lineRule="auto"/>
        <w:ind w:firstLine="378"/>
        <w:jc w:val="both"/>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eastAsia="zh-CN"/>
        </w:rPr>
        <w:t>15个</w:t>
      </w:r>
      <w:r>
        <w:rPr>
          <w:rFonts w:hint="eastAsia" w:ascii="宋体" w:hAnsi="宋体" w:eastAsia="宋体" w:cs="宋体"/>
          <w:color w:val="auto"/>
          <w:kern w:val="0"/>
          <w:sz w:val="24"/>
          <w:szCs w:val="24"/>
          <w:highlight w:val="none"/>
        </w:rPr>
        <w:t>工作日内，</w:t>
      </w:r>
      <w:r>
        <w:rPr>
          <w:rFonts w:hint="default" w:ascii="宋体" w:hAnsi="宋体" w:eastAsia="宋体" w:cs="宋体"/>
          <w:color w:val="auto"/>
          <w:kern w:val="0"/>
          <w:sz w:val="24"/>
          <w:szCs w:val="24"/>
          <w:highlight w:val="none"/>
        </w:rPr>
        <w:t>中标供应商需</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的3%作为项目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2C26EAC5">
      <w:pPr>
        <w:pStyle w:val="18"/>
        <w:spacing w:line="360" w:lineRule="auto"/>
        <w:ind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八、合同签订</w:t>
      </w:r>
    </w:p>
    <w:p w14:paraId="1946C61F">
      <w:pPr>
        <w:pStyle w:val="18"/>
        <w:spacing w:line="360" w:lineRule="auto"/>
        <w:ind w:firstLine="47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1.中标供应商接到中标通知书后</w:t>
      </w:r>
      <w:r>
        <w:rPr>
          <w:rFonts w:hint="eastAsia" w:ascii="宋体" w:hAnsi="宋体" w:eastAsia="宋体" w:cs="宋体"/>
          <w:b w:val="0"/>
          <w:bCs/>
          <w:color w:val="auto"/>
          <w:sz w:val="24"/>
          <w:szCs w:val="24"/>
          <w:highlight w:val="none"/>
          <w:lang w:eastAsia="zh-CN"/>
        </w:rPr>
        <w:t>3</w:t>
      </w:r>
      <w:r>
        <w:rPr>
          <w:rFonts w:ascii="宋体" w:hAnsi="宋体" w:eastAsia="宋体" w:cs="宋体"/>
          <w:b w:val="0"/>
          <w:bCs/>
          <w:color w:val="auto"/>
          <w:sz w:val="24"/>
          <w:szCs w:val="24"/>
          <w:highlight w:val="none"/>
        </w:rPr>
        <w:t>0个日历日内，持中标通知书与采购人签订合同。</w:t>
      </w:r>
    </w:p>
    <w:p w14:paraId="7E965CE3">
      <w:pPr>
        <w:pStyle w:val="18"/>
        <w:spacing w:line="360" w:lineRule="auto"/>
        <w:ind w:firstLine="378"/>
        <w:jc w:val="both"/>
        <w:rPr>
          <w:rFonts w:ascii="宋体" w:hAnsi="宋体" w:eastAsia="宋体" w:cs="宋体"/>
          <w:color w:val="auto"/>
          <w:sz w:val="24"/>
          <w:szCs w:val="24"/>
          <w:highlight w:val="none"/>
        </w:rPr>
      </w:pPr>
      <w:r>
        <w:rPr>
          <w:rFonts w:ascii="宋体" w:hAnsi="宋体" w:eastAsia="宋体" w:cs="宋体"/>
          <w:b w:val="0"/>
          <w:bCs/>
          <w:color w:val="auto"/>
          <w:sz w:val="24"/>
          <w:szCs w:val="24"/>
          <w:highlight w:val="none"/>
        </w:rPr>
        <w:t>2.招标文件、投标文件均作为合同订立的基础，为合同组成部分。</w:t>
      </w:r>
    </w:p>
    <w:p w14:paraId="539DBCFC">
      <w:pPr>
        <w:pStyle w:val="18"/>
        <w:spacing w:line="360" w:lineRule="auto"/>
        <w:ind w:right="-60" w:firstLine="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九、其他事项</w:t>
      </w:r>
    </w:p>
    <w:p w14:paraId="14A9F6A0">
      <w:pPr>
        <w:pStyle w:val="18"/>
        <w:spacing w:line="360" w:lineRule="auto"/>
        <w:ind w:firstLine="482"/>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★1.本项目</w:t>
      </w:r>
      <w:r>
        <w:rPr>
          <w:rFonts w:hint="eastAsia" w:ascii="宋体" w:hAnsi="宋体" w:eastAsia="宋体" w:cs="宋体"/>
          <w:b/>
          <w:color w:val="auto"/>
          <w:sz w:val="24"/>
          <w:szCs w:val="24"/>
          <w:highlight w:val="none"/>
          <w:lang w:val="en-US" w:eastAsia="zh-CN"/>
        </w:rPr>
        <w:t>：</w:t>
      </w:r>
      <w:r>
        <w:rPr>
          <w:rFonts w:ascii="宋体" w:hAnsi="宋体" w:eastAsia="宋体" w:cs="宋体"/>
          <w:b/>
          <w:color w:val="auto"/>
          <w:sz w:val="24"/>
          <w:szCs w:val="24"/>
          <w:highlight w:val="none"/>
        </w:rPr>
        <w:t>采购预算为人民币</w:t>
      </w:r>
      <w:r>
        <w:rPr>
          <w:rFonts w:hint="eastAsia" w:ascii="宋体" w:hAnsi="宋体" w:eastAsia="宋体" w:cs="宋体"/>
          <w:b/>
          <w:color w:val="auto"/>
          <w:sz w:val="24"/>
          <w:szCs w:val="24"/>
          <w:highlight w:val="none"/>
          <w:lang w:val="en-US" w:eastAsia="zh-CN"/>
        </w:rPr>
        <w:t>1322474</w:t>
      </w:r>
      <w:r>
        <w:rPr>
          <w:rFonts w:hint="default" w:ascii="宋体" w:hAnsi="宋体" w:eastAsia="宋体" w:cs="宋体"/>
          <w:b/>
          <w:color w:val="auto"/>
          <w:sz w:val="24"/>
          <w:szCs w:val="24"/>
          <w:highlight w:val="none"/>
          <w:lang w:val="en-US" w:eastAsia="zh-CN"/>
        </w:rPr>
        <w:t>元</w:t>
      </w:r>
      <w:r>
        <w:rPr>
          <w:rFonts w:ascii="宋体" w:hAnsi="宋体" w:eastAsia="宋体" w:cs="宋体"/>
          <w:b/>
          <w:color w:val="auto"/>
          <w:sz w:val="24"/>
          <w:szCs w:val="24"/>
          <w:highlight w:val="none"/>
        </w:rPr>
        <w:t>，该采购预算为最高限价，投标人不得超过最高限价，否则将做无效投标处理。</w:t>
      </w:r>
    </w:p>
    <w:p w14:paraId="1D815635">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2．投标人在投标文件中详细说明所投货物的技术水平、性能等(材质构成、油漆、内外部结构、五金配件、制造工艺、生产流程、加工设备及其它)。</w:t>
      </w:r>
    </w:p>
    <w:p w14:paraId="027970E8">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3．附件及零配件：投标人应列出备品/备件及附件的清单及价格。</w:t>
      </w:r>
    </w:p>
    <w:p w14:paraId="513A51C6">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4．投标人认为有必要提供的其它技术资料。</w:t>
      </w:r>
    </w:p>
    <w:p w14:paraId="0A7339DE">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5．投标人若有其它方面的特殊功能及优惠条件，可在投标文件中注明。</w:t>
      </w:r>
    </w:p>
    <w:p w14:paraId="12A6FCC0">
      <w:pPr>
        <w:pStyle w:val="18"/>
        <w:spacing w:line="360" w:lineRule="auto"/>
        <w:ind w:firstLine="480"/>
        <w:jc w:val="both"/>
        <w:rPr>
          <w:rFonts w:ascii="宋体" w:hAnsi="宋体" w:eastAsia="宋体" w:cs="宋体"/>
          <w:bCs/>
          <w:color w:val="auto"/>
          <w:sz w:val="24"/>
          <w:szCs w:val="24"/>
          <w:highlight w:val="none"/>
        </w:rPr>
      </w:pPr>
      <w:r>
        <w:rPr>
          <w:rFonts w:ascii="宋体" w:hAnsi="宋体" w:eastAsia="宋体" w:cs="宋体"/>
          <w:b w:val="0"/>
          <w:bCs/>
          <w:color w:val="auto"/>
          <w:sz w:val="24"/>
          <w:szCs w:val="24"/>
          <w:highlight w:val="none"/>
        </w:rPr>
        <w:t>6．如采购人对采购数量有所调整，将按中标单价调整合同总价，中标供应商不得有异议。如款式及型号有所变动必须经采购人书面确认，涉及单价变动的以中标单价为基准，由采购人和中标供应商协商确定。</w:t>
      </w:r>
    </w:p>
    <w:p w14:paraId="16D8D6A4">
      <w:pPr>
        <w:pStyle w:val="18"/>
        <w:spacing w:line="360" w:lineRule="auto"/>
        <w:ind w:firstLine="48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★7.</w:t>
      </w:r>
      <w:r>
        <w:rPr>
          <w:rFonts w:hint="eastAsia" w:ascii="宋体" w:hAnsi="宋体" w:eastAsia="宋体" w:cs="宋体"/>
          <w:b/>
          <w:color w:val="auto"/>
          <w:sz w:val="24"/>
          <w:szCs w:val="24"/>
          <w:highlight w:val="none"/>
          <w:lang w:val="en-US" w:eastAsia="zh-CN"/>
        </w:rPr>
        <w:t>交货</w:t>
      </w:r>
      <w:r>
        <w:rPr>
          <w:rFonts w:ascii="宋体" w:hAnsi="宋体" w:eastAsia="宋体" w:cs="宋体"/>
          <w:b/>
          <w:color w:val="auto"/>
          <w:sz w:val="24"/>
          <w:szCs w:val="24"/>
          <w:highlight w:val="none"/>
        </w:rPr>
        <w:t>期：合同签订之日起</w:t>
      </w:r>
      <w:r>
        <w:rPr>
          <w:rFonts w:hint="eastAsia" w:ascii="宋体" w:hAnsi="宋体" w:eastAsia="宋体" w:cs="宋体"/>
          <w:b/>
          <w:color w:val="auto"/>
          <w:sz w:val="24"/>
          <w:szCs w:val="24"/>
          <w:highlight w:val="none"/>
          <w:lang w:val="en-US" w:eastAsia="zh-CN"/>
        </w:rPr>
        <w:t>3</w:t>
      </w:r>
      <w:r>
        <w:rPr>
          <w:rFonts w:ascii="宋体" w:hAnsi="宋体" w:eastAsia="宋体" w:cs="宋体"/>
          <w:b/>
          <w:color w:val="auto"/>
          <w:sz w:val="24"/>
          <w:szCs w:val="24"/>
          <w:highlight w:val="none"/>
        </w:rPr>
        <w:t>0个日历日内（含交货及安装）。</w:t>
      </w:r>
    </w:p>
    <w:p w14:paraId="0548736C">
      <w:pPr>
        <w:pStyle w:val="18"/>
        <w:spacing w:line="360" w:lineRule="auto"/>
        <w:ind w:right="30" w:firstLine="590"/>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8.原件备查指：评审结束后，有质疑投诉或是采购人</w:t>
      </w:r>
      <w:r>
        <w:rPr>
          <w:rFonts w:hint="eastAsia" w:ascii="宋体" w:hAnsi="宋体" w:eastAsia="宋体" w:cs="宋体"/>
          <w:b/>
          <w:color w:val="auto"/>
          <w:sz w:val="24"/>
          <w:szCs w:val="24"/>
          <w:highlight w:val="none"/>
          <w:lang w:val="en-US" w:eastAsia="zh-CN"/>
        </w:rPr>
        <w:t>或是使用单位</w:t>
      </w:r>
      <w:r>
        <w:rPr>
          <w:rFonts w:ascii="宋体" w:hAnsi="宋体" w:eastAsia="宋体" w:cs="宋体"/>
          <w:b/>
          <w:color w:val="auto"/>
          <w:sz w:val="24"/>
          <w:szCs w:val="24"/>
          <w:highlight w:val="none"/>
        </w:rPr>
        <w:t>发现虚假应标等情况，投标人需在3个工作日内提交原件核查，</w:t>
      </w:r>
      <w:r>
        <w:rPr>
          <w:rFonts w:hint="eastAsia" w:ascii="宋体" w:hAnsi="宋体" w:eastAsia="宋体" w:cs="宋体"/>
          <w:b/>
          <w:color w:val="auto"/>
          <w:sz w:val="24"/>
          <w:szCs w:val="24"/>
          <w:highlight w:val="none"/>
        </w:rPr>
        <w:t>否则取消其中标资格</w:t>
      </w:r>
      <w:r>
        <w:rPr>
          <w:rFonts w:ascii="宋体" w:hAnsi="宋体" w:eastAsia="宋体" w:cs="宋体"/>
          <w:b/>
          <w:color w:val="auto"/>
          <w:sz w:val="24"/>
          <w:szCs w:val="24"/>
          <w:highlight w:val="none"/>
        </w:rPr>
        <w:t>。投标人提供书面承诺函（格式自拟）。</w:t>
      </w:r>
    </w:p>
    <w:p w14:paraId="5C30085B">
      <w:pPr>
        <w:pStyle w:val="18"/>
        <w:spacing w:line="360" w:lineRule="auto"/>
        <w:ind w:firstLine="472"/>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★9.投标人须在投标文件中作出响应：投标人若中标，未按工期内完成交付使用并最终验收合格，每逾期一天，罚款为合同总额的千分之一。</w:t>
      </w:r>
    </w:p>
    <w:p w14:paraId="209AC4D5">
      <w:pPr>
        <w:pStyle w:val="18"/>
        <w:spacing w:line="360" w:lineRule="auto"/>
        <w:ind w:firstLine="480"/>
        <w:jc w:val="both"/>
        <w:rPr>
          <w:rFonts w:hint="default" w:ascii="宋体" w:hAnsi="宋体" w:eastAsia="宋体" w:cs="宋体"/>
          <w:bCs/>
          <w:color w:val="auto"/>
          <w:sz w:val="24"/>
          <w:szCs w:val="24"/>
          <w:highlight w:val="none"/>
          <w:lang w:val="en-US" w:eastAsia="zh-CN"/>
        </w:rPr>
      </w:pPr>
      <w:r>
        <w:rPr>
          <w:rFonts w:ascii="宋体" w:hAnsi="宋体" w:eastAsia="宋体" w:cs="宋体"/>
          <w:b w:val="0"/>
          <w:bCs/>
          <w:color w:val="auto"/>
          <w:sz w:val="24"/>
          <w:szCs w:val="24"/>
          <w:highlight w:val="none"/>
        </w:rPr>
        <w:t>10.本项目施工地点因单位日常办公，中标供应商须采取必要的措施，避免影响其单位正常上班秩序，确保工期如期完成，供应商报价时须提供该措施，包括安全、保洁、噪声等防患以及施工计划安排措施。</w:t>
      </w:r>
      <w:r>
        <w:rPr>
          <w:rFonts w:hint="eastAsia" w:ascii="宋体" w:hAnsi="宋体" w:eastAsia="宋体" w:cs="宋体"/>
          <w:b w:val="0"/>
          <w:bCs/>
          <w:color w:val="auto"/>
          <w:sz w:val="24"/>
          <w:szCs w:val="24"/>
          <w:highlight w:val="none"/>
          <w:lang w:val="en-US" w:eastAsia="zh-CN"/>
        </w:rPr>
        <w:t>如有损坏现场，需恢复原样。</w:t>
      </w:r>
    </w:p>
    <w:p w14:paraId="208808EF">
      <w:pPr>
        <w:pStyle w:val="18"/>
        <w:spacing w:line="360" w:lineRule="auto"/>
        <w:ind w:firstLine="480"/>
        <w:jc w:val="both"/>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11.中标供应商负责提供的货物由采购人指定的摆放位置，如果指定摆放位置被占用，由中标供应商负责搬运,搬运至采购人指定位置。</w:t>
      </w:r>
    </w:p>
    <w:p w14:paraId="56215A61">
      <w:pPr>
        <w:pStyle w:val="18"/>
        <w:spacing w:line="360" w:lineRule="auto"/>
        <w:ind w:firstLine="480"/>
        <w:jc w:val="both"/>
        <w:rPr>
          <w:rFonts w:hint="default"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12.行政办公室家具投标报价不得超过《厦门市财政局关于调整市直党政机关部分办公设施设备配置标准的通知》（厦财行[2011]21号文）中关于办公家具的限定配置标准，否则将做无效投标处理。</w:t>
      </w:r>
    </w:p>
    <w:p w14:paraId="688BD852">
      <w:pPr>
        <w:pStyle w:val="18"/>
        <w:spacing w:line="360" w:lineRule="auto"/>
        <w:ind w:firstLine="0"/>
        <w:jc w:val="both"/>
        <w:outlineLvl w:val="2"/>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十</w:t>
      </w:r>
      <w:r>
        <w:rPr>
          <w:rFonts w:ascii="宋体" w:hAnsi="宋体" w:eastAsia="宋体" w:cs="宋体"/>
          <w:b/>
          <w:color w:val="auto"/>
          <w:sz w:val="24"/>
          <w:szCs w:val="24"/>
          <w:highlight w:val="none"/>
        </w:rPr>
        <w:t>、商务要求（以“★”标示的内容为不允许负偏离的实质性要求）</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13"/>
        <w:gridCol w:w="793"/>
        <w:gridCol w:w="1703"/>
        <w:gridCol w:w="7128"/>
      </w:tblGrid>
      <w:tr w14:paraId="66B83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1DA531F0">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序号</w:t>
            </w:r>
          </w:p>
        </w:tc>
        <w:tc>
          <w:tcPr>
            <w:tcW w:w="793" w:type="dxa"/>
          </w:tcPr>
          <w:p w14:paraId="4D608B2F">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参数性质</w:t>
            </w:r>
          </w:p>
        </w:tc>
        <w:tc>
          <w:tcPr>
            <w:tcW w:w="1703" w:type="dxa"/>
          </w:tcPr>
          <w:p w14:paraId="593248AF">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类型</w:t>
            </w:r>
          </w:p>
        </w:tc>
        <w:tc>
          <w:tcPr>
            <w:tcW w:w="7128" w:type="dxa"/>
          </w:tcPr>
          <w:p w14:paraId="6BFFF81F">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要求</w:t>
            </w:r>
          </w:p>
        </w:tc>
      </w:tr>
      <w:tr w14:paraId="48AC1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4550EE17">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w:t>
            </w:r>
          </w:p>
        </w:tc>
        <w:tc>
          <w:tcPr>
            <w:tcW w:w="793" w:type="dxa"/>
          </w:tcPr>
          <w:p w14:paraId="708C81B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1703" w:type="dxa"/>
          </w:tcPr>
          <w:p w14:paraId="744FA05D">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交货期</w:t>
            </w:r>
          </w:p>
        </w:tc>
        <w:tc>
          <w:tcPr>
            <w:tcW w:w="7128" w:type="dxa"/>
          </w:tcPr>
          <w:p w14:paraId="74A7AC93">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★合同签订之日起</w:t>
            </w:r>
            <w:r>
              <w:rPr>
                <w:rFonts w:hint="eastAsia" w:ascii="宋体" w:hAnsi="宋体" w:eastAsia="宋体" w:cs="宋体"/>
                <w:b/>
                <w:color w:val="auto"/>
                <w:sz w:val="24"/>
                <w:szCs w:val="24"/>
                <w:highlight w:val="none"/>
                <w:lang w:val="en-US" w:eastAsia="zh-CN"/>
              </w:rPr>
              <w:t>3</w:t>
            </w:r>
            <w:r>
              <w:rPr>
                <w:rFonts w:ascii="宋体" w:hAnsi="宋体" w:eastAsia="宋体" w:cs="宋体"/>
                <w:b/>
                <w:color w:val="auto"/>
                <w:sz w:val="24"/>
                <w:szCs w:val="24"/>
                <w:highlight w:val="none"/>
              </w:rPr>
              <w:t>0个日历日内（含交货及安装）。</w:t>
            </w:r>
          </w:p>
        </w:tc>
      </w:tr>
      <w:tr w14:paraId="46C5C8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95D89C1">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2</w:t>
            </w:r>
          </w:p>
        </w:tc>
        <w:tc>
          <w:tcPr>
            <w:tcW w:w="793" w:type="dxa"/>
          </w:tcPr>
          <w:p w14:paraId="4104108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1703" w:type="dxa"/>
          </w:tcPr>
          <w:p w14:paraId="619DB4D3">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交货地点</w:t>
            </w:r>
          </w:p>
        </w:tc>
        <w:tc>
          <w:tcPr>
            <w:tcW w:w="7128" w:type="dxa"/>
          </w:tcPr>
          <w:p w14:paraId="65753FD4">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采购人指定地点。</w:t>
            </w:r>
          </w:p>
        </w:tc>
      </w:tr>
      <w:tr w14:paraId="4DBF8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149F8AD6">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3</w:t>
            </w:r>
          </w:p>
        </w:tc>
        <w:tc>
          <w:tcPr>
            <w:tcW w:w="793" w:type="dxa"/>
          </w:tcPr>
          <w:p w14:paraId="6EBECAE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1703" w:type="dxa"/>
          </w:tcPr>
          <w:p w14:paraId="71FCDEFD">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交货条件</w:t>
            </w:r>
          </w:p>
        </w:tc>
        <w:tc>
          <w:tcPr>
            <w:tcW w:w="7128" w:type="dxa"/>
          </w:tcPr>
          <w:p w14:paraId="1355A918">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按招标文件及合同约定执行。</w:t>
            </w:r>
          </w:p>
        </w:tc>
      </w:tr>
      <w:tr w14:paraId="109B8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6F979ABD">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4</w:t>
            </w:r>
          </w:p>
        </w:tc>
        <w:tc>
          <w:tcPr>
            <w:tcW w:w="793" w:type="dxa"/>
          </w:tcPr>
          <w:p w14:paraId="09C0039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1703" w:type="dxa"/>
          </w:tcPr>
          <w:p w14:paraId="5C56E2EE">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是否邀请投标人验收</w:t>
            </w:r>
          </w:p>
        </w:tc>
        <w:tc>
          <w:tcPr>
            <w:tcW w:w="7128" w:type="dxa"/>
          </w:tcPr>
          <w:p w14:paraId="2658A20C">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不邀请投标人验收</w:t>
            </w:r>
          </w:p>
        </w:tc>
      </w:tr>
      <w:tr w14:paraId="6749B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14:paraId="226CBB67">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5</w:t>
            </w:r>
          </w:p>
        </w:tc>
        <w:tc>
          <w:tcPr>
            <w:tcW w:w="793" w:type="dxa"/>
          </w:tcPr>
          <w:p w14:paraId="577F036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1703" w:type="dxa"/>
          </w:tcPr>
          <w:p w14:paraId="7D52DC20">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履约验收方式</w:t>
            </w:r>
          </w:p>
        </w:tc>
        <w:tc>
          <w:tcPr>
            <w:tcW w:w="7128" w:type="dxa"/>
          </w:tcPr>
          <w:p w14:paraId="18D31757">
            <w:pPr>
              <w:pStyle w:val="18"/>
              <w:keepNext w:val="0"/>
              <w:keepLines w:val="0"/>
              <w:widowControl/>
              <w:suppressLineNumbers w:val="0"/>
              <w:spacing w:before="0" w:beforeAutospacing="0" w:after="0" w:afterAutospacing="0" w:line="360" w:lineRule="auto"/>
              <w:ind w:left="0" w:right="0"/>
              <w:jc w:val="both"/>
              <w:rPr>
                <w:rFonts w:ascii="宋体" w:hAnsi="宋体" w:eastAsia="宋体" w:cs="宋体"/>
                <w:color w:val="auto"/>
                <w:sz w:val="24"/>
                <w:szCs w:val="24"/>
                <w:highlight w:val="none"/>
              </w:rPr>
            </w:pPr>
            <w:r>
              <w:rPr>
                <w:rFonts w:ascii="宋体" w:hAnsi="宋体" w:eastAsia="宋体" w:cs="宋体"/>
                <w:b/>
                <w:color w:val="auto"/>
                <w:sz w:val="24"/>
                <w:szCs w:val="24"/>
                <w:highlight w:val="none"/>
              </w:rPr>
              <w:t>1、期次1，说明：1．投标人提供货物的制造标准、安装标准、验收标准及技术规范等有关资料应符合国家规定的有关标准、规范要求。 2．投标人应保证提供原产、正宗品牌货物，不得用伪劣货物替代；如出现上述质量问题采购人有权退货并解除合同。 3．在生产过程或验收过程中发现中标供应商对</w:t>
            </w:r>
            <w:r>
              <w:rPr>
                <w:rFonts w:hint="eastAsia" w:ascii="宋体" w:hAnsi="宋体" w:eastAsia="宋体" w:cs="宋体"/>
                <w:b/>
                <w:color w:val="auto"/>
                <w:sz w:val="24"/>
                <w:szCs w:val="24"/>
                <w:highlight w:val="none"/>
                <w:lang w:val="en-US" w:eastAsia="zh-CN"/>
              </w:rPr>
              <w:t>中标</w:t>
            </w:r>
            <w:r>
              <w:rPr>
                <w:rFonts w:ascii="宋体" w:hAnsi="宋体" w:eastAsia="宋体" w:cs="宋体"/>
                <w:b/>
                <w:color w:val="auto"/>
                <w:sz w:val="24"/>
                <w:szCs w:val="24"/>
                <w:highlight w:val="none"/>
              </w:rPr>
              <w:t>货物进行分包、转包，采购人有权单方解除合同并有权拒付全部货款。 4．货物安装所需的配件或附加件，在合同签订前由中标供应商提交具体清单给采购人确认。 5.中标后生产前，向采购人确定所供货物的相关事项，经采购人书面确认是否增减后方可投入生产。否则，由此产生的一切后果由投标人负责。 6.货物初验：货物运抵采购人指定地点后由采购人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 7.最终验收：中标供应商负责现场安装、调试，待性能指标经验收合格后（附验收报告），中标供应商应与采购人共同签署《厦门市政府采购验收报告》。</w:t>
            </w:r>
          </w:p>
        </w:tc>
      </w:tr>
    </w:tbl>
    <w:p w14:paraId="6B83798F">
      <w:pPr>
        <w:tabs>
          <w:tab w:val="left" w:pos="5130"/>
        </w:tabs>
        <w:spacing w:line="360" w:lineRule="auto"/>
        <w:ind w:firstLine="480" w:firstLineChars="200"/>
        <w:rPr>
          <w:rFonts w:hint="eastAsia" w:ascii="宋体" w:hAnsi="宋体" w:eastAsia="宋体" w:cs="宋体"/>
          <w:color w:val="auto"/>
          <w:sz w:val="24"/>
          <w:szCs w:val="24"/>
          <w:highlight w:val="none"/>
        </w:rPr>
      </w:pPr>
    </w:p>
    <w:p w14:paraId="23E2D849">
      <w:pPr>
        <w:tabs>
          <w:tab w:val="left" w:pos="5130"/>
        </w:tabs>
        <w:spacing w:line="360" w:lineRule="auto"/>
        <w:ind w:firstLine="480" w:firstLineChars="200"/>
        <w:rPr>
          <w:rFonts w:hint="eastAsia" w:ascii="宋体" w:hAnsi="宋体" w:eastAsia="宋体" w:cs="宋体"/>
          <w:color w:val="auto"/>
          <w:sz w:val="24"/>
          <w:szCs w:val="24"/>
          <w:highlight w:val="none"/>
        </w:rPr>
      </w:pPr>
    </w:p>
    <w:p w14:paraId="11A3125B">
      <w:pPr>
        <w:tabs>
          <w:tab w:val="left" w:pos="5130"/>
        </w:tabs>
        <w:spacing w:line="360" w:lineRule="auto"/>
        <w:ind w:firstLine="480" w:firstLineChars="200"/>
        <w:rPr>
          <w:rFonts w:hint="eastAsia" w:ascii="宋体" w:hAnsi="宋体" w:eastAsia="宋体" w:cs="宋体"/>
          <w:color w:val="auto"/>
          <w:sz w:val="24"/>
          <w:szCs w:val="24"/>
          <w:highlight w:val="none"/>
        </w:rPr>
      </w:pPr>
    </w:p>
    <w:p w14:paraId="2CE5CC39">
      <w:pPr>
        <w:tabs>
          <w:tab w:val="left" w:pos="5130"/>
        </w:tabs>
        <w:spacing w:line="360" w:lineRule="auto"/>
        <w:ind w:firstLine="480" w:firstLineChars="200"/>
        <w:rPr>
          <w:rFonts w:hint="eastAsia" w:ascii="宋体" w:hAnsi="宋体" w:eastAsia="宋体" w:cs="宋体"/>
          <w:color w:val="auto"/>
          <w:sz w:val="24"/>
          <w:szCs w:val="24"/>
          <w:highlight w:val="none"/>
        </w:rPr>
      </w:pPr>
    </w:p>
    <w:p w14:paraId="4284B268">
      <w:pPr>
        <w:tabs>
          <w:tab w:val="left" w:pos="5130"/>
        </w:tabs>
        <w:spacing w:line="360" w:lineRule="auto"/>
        <w:ind w:firstLine="480" w:firstLineChars="200"/>
        <w:rPr>
          <w:rFonts w:hint="eastAsia" w:ascii="宋体" w:hAnsi="宋体" w:eastAsia="宋体" w:cs="宋体"/>
          <w:color w:val="auto"/>
          <w:sz w:val="24"/>
          <w:szCs w:val="24"/>
          <w:highlight w:val="none"/>
        </w:rPr>
      </w:pPr>
    </w:p>
    <w:p w14:paraId="31380764">
      <w:pPr>
        <w:tabs>
          <w:tab w:val="left" w:pos="5130"/>
        </w:tabs>
        <w:spacing w:line="360" w:lineRule="auto"/>
        <w:ind w:firstLine="480" w:firstLineChars="200"/>
        <w:rPr>
          <w:rFonts w:hint="eastAsia" w:ascii="宋体" w:hAnsi="宋体" w:eastAsia="宋体" w:cs="宋体"/>
          <w:color w:val="auto"/>
          <w:sz w:val="24"/>
          <w:szCs w:val="24"/>
          <w:highlight w:val="none"/>
        </w:rPr>
      </w:pPr>
    </w:p>
    <w:p w14:paraId="741FD2D1">
      <w:pPr>
        <w:tabs>
          <w:tab w:val="left" w:pos="5130"/>
        </w:tabs>
        <w:spacing w:line="360" w:lineRule="auto"/>
        <w:ind w:firstLine="480" w:firstLineChars="200"/>
        <w:rPr>
          <w:rFonts w:hint="eastAsia" w:ascii="宋体" w:hAnsi="宋体" w:eastAsia="宋体" w:cs="宋体"/>
          <w:color w:val="auto"/>
          <w:sz w:val="24"/>
          <w:szCs w:val="24"/>
          <w:highlight w:val="none"/>
        </w:rPr>
      </w:pPr>
    </w:p>
    <w:p w14:paraId="38239367">
      <w:pPr>
        <w:tabs>
          <w:tab w:val="left" w:pos="5130"/>
        </w:tabs>
        <w:spacing w:line="360" w:lineRule="auto"/>
        <w:ind w:firstLine="480" w:firstLineChars="200"/>
        <w:rPr>
          <w:rFonts w:hint="eastAsia" w:ascii="宋体" w:hAnsi="宋体" w:eastAsia="宋体" w:cs="宋体"/>
          <w:color w:val="auto"/>
          <w:sz w:val="24"/>
          <w:szCs w:val="24"/>
          <w:highlight w:val="none"/>
        </w:rPr>
      </w:pPr>
    </w:p>
    <w:p w14:paraId="1C697D32">
      <w:pPr>
        <w:tabs>
          <w:tab w:val="left" w:pos="5130"/>
        </w:tabs>
        <w:spacing w:line="360" w:lineRule="auto"/>
        <w:ind w:firstLine="480" w:firstLineChars="200"/>
        <w:rPr>
          <w:rFonts w:hint="eastAsia" w:ascii="宋体" w:hAnsi="宋体" w:eastAsia="宋体" w:cs="宋体"/>
          <w:color w:val="auto"/>
          <w:sz w:val="24"/>
          <w:szCs w:val="24"/>
          <w:highlight w:val="none"/>
        </w:rPr>
      </w:pPr>
    </w:p>
    <w:p w14:paraId="41A0AC54">
      <w:pPr>
        <w:tabs>
          <w:tab w:val="left" w:pos="5130"/>
        </w:tabs>
        <w:spacing w:line="360" w:lineRule="auto"/>
        <w:ind w:firstLine="480" w:firstLineChars="200"/>
        <w:rPr>
          <w:rFonts w:hint="eastAsia" w:ascii="宋体" w:hAnsi="宋体" w:eastAsia="宋体" w:cs="宋体"/>
          <w:color w:val="auto"/>
          <w:sz w:val="24"/>
          <w:szCs w:val="24"/>
          <w:highlight w:val="none"/>
        </w:rPr>
      </w:pPr>
    </w:p>
    <w:p w14:paraId="23328FBE">
      <w:pPr>
        <w:tabs>
          <w:tab w:val="left" w:pos="5130"/>
        </w:tabs>
        <w:spacing w:line="360" w:lineRule="auto"/>
        <w:ind w:firstLine="480" w:firstLineChars="200"/>
        <w:rPr>
          <w:rFonts w:hint="eastAsia" w:ascii="宋体" w:hAnsi="宋体" w:eastAsia="宋体" w:cs="宋体"/>
          <w:color w:val="auto"/>
          <w:sz w:val="24"/>
          <w:szCs w:val="24"/>
          <w:highlight w:val="none"/>
        </w:rPr>
      </w:pPr>
    </w:p>
    <w:p w14:paraId="62A71B16">
      <w:pPr>
        <w:tabs>
          <w:tab w:val="left" w:pos="5130"/>
        </w:tabs>
        <w:spacing w:line="360" w:lineRule="auto"/>
        <w:ind w:firstLine="480" w:firstLineChars="200"/>
        <w:rPr>
          <w:rFonts w:hint="eastAsia" w:ascii="宋体" w:hAnsi="宋体" w:eastAsia="宋体" w:cs="宋体"/>
          <w:color w:val="auto"/>
          <w:sz w:val="24"/>
          <w:szCs w:val="24"/>
          <w:highlight w:val="none"/>
        </w:rPr>
      </w:pPr>
    </w:p>
    <w:p w14:paraId="79A94AED">
      <w:pPr>
        <w:tabs>
          <w:tab w:val="left" w:pos="5130"/>
        </w:tabs>
        <w:spacing w:line="360" w:lineRule="auto"/>
        <w:ind w:firstLine="480" w:firstLineChars="200"/>
        <w:rPr>
          <w:rFonts w:hint="eastAsia" w:ascii="宋体" w:hAnsi="宋体" w:eastAsia="宋体" w:cs="宋体"/>
          <w:color w:val="auto"/>
          <w:sz w:val="24"/>
          <w:szCs w:val="24"/>
          <w:highlight w:val="none"/>
        </w:rPr>
      </w:pPr>
    </w:p>
    <w:p w14:paraId="46549C76">
      <w:pPr>
        <w:tabs>
          <w:tab w:val="left" w:pos="5130"/>
        </w:tabs>
        <w:spacing w:line="360" w:lineRule="auto"/>
        <w:ind w:firstLine="480" w:firstLineChars="200"/>
        <w:rPr>
          <w:rFonts w:hint="eastAsia" w:ascii="宋体" w:hAnsi="宋体" w:eastAsia="宋体" w:cs="宋体"/>
          <w:color w:val="auto"/>
          <w:sz w:val="24"/>
          <w:szCs w:val="24"/>
          <w:highlight w:val="none"/>
        </w:rPr>
      </w:pPr>
    </w:p>
    <w:p w14:paraId="5F02502E">
      <w:pPr>
        <w:tabs>
          <w:tab w:val="left" w:pos="5130"/>
        </w:tabs>
        <w:spacing w:line="360" w:lineRule="auto"/>
        <w:ind w:firstLine="480" w:firstLineChars="200"/>
        <w:rPr>
          <w:rFonts w:hint="eastAsia" w:ascii="宋体" w:hAnsi="宋体" w:eastAsia="宋体" w:cs="宋体"/>
          <w:color w:val="auto"/>
          <w:sz w:val="24"/>
          <w:szCs w:val="24"/>
          <w:highlight w:val="none"/>
        </w:rPr>
      </w:pPr>
    </w:p>
    <w:p w14:paraId="4AC546B4">
      <w:pPr>
        <w:tabs>
          <w:tab w:val="left" w:pos="5130"/>
        </w:tabs>
        <w:spacing w:line="360" w:lineRule="auto"/>
        <w:ind w:firstLine="480" w:firstLineChars="200"/>
        <w:rPr>
          <w:rFonts w:hint="eastAsia" w:ascii="宋体" w:hAnsi="宋体" w:eastAsia="宋体" w:cs="宋体"/>
          <w:color w:val="auto"/>
          <w:sz w:val="24"/>
          <w:szCs w:val="24"/>
          <w:highlight w:val="none"/>
        </w:rPr>
      </w:pPr>
    </w:p>
    <w:p w14:paraId="17B569E7">
      <w:pPr>
        <w:tabs>
          <w:tab w:val="left" w:pos="5130"/>
        </w:tabs>
        <w:spacing w:line="360" w:lineRule="auto"/>
        <w:ind w:firstLine="480" w:firstLineChars="200"/>
        <w:rPr>
          <w:rFonts w:hint="eastAsia" w:ascii="宋体" w:hAnsi="宋体" w:eastAsia="宋体" w:cs="宋体"/>
          <w:color w:val="auto"/>
          <w:sz w:val="24"/>
          <w:szCs w:val="24"/>
          <w:highlight w:val="none"/>
        </w:rPr>
      </w:pPr>
    </w:p>
    <w:p w14:paraId="0E34EFD8">
      <w:pPr>
        <w:tabs>
          <w:tab w:val="left" w:pos="5130"/>
        </w:tabs>
        <w:spacing w:line="360" w:lineRule="auto"/>
        <w:ind w:firstLine="480" w:firstLineChars="200"/>
        <w:rPr>
          <w:rFonts w:hint="eastAsia" w:ascii="宋体" w:hAnsi="宋体" w:eastAsia="宋体" w:cs="宋体"/>
          <w:color w:val="auto"/>
          <w:sz w:val="24"/>
          <w:szCs w:val="24"/>
          <w:highlight w:val="none"/>
        </w:rPr>
      </w:pPr>
    </w:p>
    <w:p w14:paraId="4BD3B517">
      <w:pPr>
        <w:tabs>
          <w:tab w:val="left" w:pos="5130"/>
        </w:tabs>
        <w:spacing w:line="360" w:lineRule="auto"/>
        <w:ind w:firstLine="480" w:firstLineChars="200"/>
        <w:rPr>
          <w:rFonts w:hint="eastAsia" w:ascii="宋体" w:hAnsi="宋体" w:eastAsia="宋体" w:cs="宋体"/>
          <w:color w:val="auto"/>
          <w:sz w:val="24"/>
          <w:szCs w:val="24"/>
          <w:highlight w:val="none"/>
        </w:rPr>
      </w:pPr>
    </w:p>
    <w:p w14:paraId="5D176C61">
      <w:pPr>
        <w:tabs>
          <w:tab w:val="left" w:pos="5130"/>
        </w:tabs>
        <w:spacing w:line="360" w:lineRule="auto"/>
        <w:ind w:firstLine="480" w:firstLineChars="200"/>
        <w:rPr>
          <w:rFonts w:hint="eastAsia" w:ascii="宋体" w:hAnsi="宋体" w:eastAsia="宋体" w:cs="宋体"/>
          <w:color w:val="auto"/>
          <w:sz w:val="24"/>
          <w:szCs w:val="24"/>
          <w:highlight w:val="none"/>
        </w:rPr>
      </w:pPr>
    </w:p>
    <w:p w14:paraId="37E24893">
      <w:pPr>
        <w:tabs>
          <w:tab w:val="left" w:pos="5130"/>
        </w:tabs>
        <w:spacing w:line="360" w:lineRule="auto"/>
        <w:ind w:firstLine="480" w:firstLineChars="200"/>
        <w:rPr>
          <w:rFonts w:hint="eastAsia" w:ascii="宋体" w:hAnsi="宋体" w:eastAsia="宋体" w:cs="宋体"/>
          <w:color w:val="auto"/>
          <w:sz w:val="24"/>
          <w:szCs w:val="24"/>
          <w:highlight w:val="none"/>
        </w:rPr>
      </w:pPr>
    </w:p>
    <w:p w14:paraId="54EB93A7">
      <w:pPr>
        <w:tabs>
          <w:tab w:val="left" w:pos="5130"/>
        </w:tabs>
        <w:spacing w:line="360" w:lineRule="auto"/>
        <w:ind w:firstLine="480" w:firstLineChars="200"/>
        <w:rPr>
          <w:rFonts w:hint="eastAsia" w:ascii="宋体" w:hAnsi="宋体" w:eastAsia="宋体" w:cs="宋体"/>
          <w:color w:val="auto"/>
          <w:sz w:val="24"/>
          <w:szCs w:val="24"/>
          <w:highlight w:val="none"/>
        </w:rPr>
      </w:pPr>
    </w:p>
    <w:p w14:paraId="53EB8538">
      <w:pPr>
        <w:tabs>
          <w:tab w:val="left" w:pos="5130"/>
        </w:tabs>
        <w:spacing w:line="360" w:lineRule="auto"/>
        <w:ind w:firstLine="480" w:firstLineChars="200"/>
        <w:rPr>
          <w:rFonts w:hint="eastAsia" w:ascii="宋体" w:hAnsi="宋体" w:eastAsia="宋体" w:cs="宋体"/>
          <w:color w:val="auto"/>
          <w:sz w:val="24"/>
          <w:szCs w:val="24"/>
          <w:highlight w:val="none"/>
        </w:rPr>
      </w:pPr>
    </w:p>
    <w:p w14:paraId="1B0702E8">
      <w:pPr>
        <w:tabs>
          <w:tab w:val="left" w:pos="5130"/>
        </w:tabs>
        <w:spacing w:line="360" w:lineRule="auto"/>
        <w:ind w:firstLine="480" w:firstLineChars="200"/>
        <w:rPr>
          <w:rFonts w:hint="eastAsia" w:ascii="宋体" w:hAnsi="宋体" w:eastAsia="宋体" w:cs="宋体"/>
          <w:color w:val="auto"/>
          <w:sz w:val="24"/>
          <w:szCs w:val="24"/>
          <w:highlight w:val="none"/>
        </w:rPr>
      </w:pPr>
    </w:p>
    <w:p w14:paraId="4164E0B9">
      <w:pPr>
        <w:tabs>
          <w:tab w:val="left" w:pos="5130"/>
        </w:tabs>
        <w:spacing w:line="360" w:lineRule="auto"/>
        <w:ind w:firstLine="480" w:firstLineChars="200"/>
        <w:rPr>
          <w:rFonts w:hint="eastAsia" w:ascii="宋体" w:hAnsi="宋体" w:eastAsia="宋体" w:cs="宋体"/>
          <w:color w:val="auto"/>
          <w:sz w:val="24"/>
          <w:szCs w:val="24"/>
          <w:highlight w:val="none"/>
        </w:rPr>
      </w:pPr>
    </w:p>
    <w:p w14:paraId="1F034D19">
      <w:pPr>
        <w:tabs>
          <w:tab w:val="left" w:pos="5130"/>
        </w:tabs>
        <w:spacing w:line="360" w:lineRule="auto"/>
        <w:ind w:firstLine="480" w:firstLineChars="200"/>
        <w:rPr>
          <w:rFonts w:hint="eastAsia" w:ascii="宋体" w:hAnsi="宋体" w:eastAsia="宋体" w:cs="宋体"/>
          <w:color w:val="auto"/>
          <w:sz w:val="24"/>
          <w:szCs w:val="24"/>
          <w:highlight w:val="none"/>
        </w:rPr>
      </w:pPr>
    </w:p>
    <w:p w14:paraId="17E21B3D">
      <w:pPr>
        <w:tabs>
          <w:tab w:val="left" w:pos="5130"/>
        </w:tabs>
        <w:spacing w:line="360" w:lineRule="auto"/>
        <w:ind w:firstLine="480" w:firstLineChars="200"/>
        <w:rPr>
          <w:rFonts w:hint="eastAsia" w:ascii="宋体" w:hAnsi="宋体" w:eastAsia="宋体" w:cs="宋体"/>
          <w:color w:val="auto"/>
          <w:sz w:val="24"/>
          <w:szCs w:val="24"/>
          <w:highlight w:val="none"/>
        </w:rPr>
      </w:pPr>
    </w:p>
    <w:p w14:paraId="4B0B4710">
      <w:pPr>
        <w:tabs>
          <w:tab w:val="left" w:pos="5130"/>
        </w:tabs>
        <w:spacing w:line="360" w:lineRule="auto"/>
        <w:ind w:firstLine="480" w:firstLineChars="200"/>
        <w:rPr>
          <w:rFonts w:hint="eastAsia" w:ascii="宋体" w:hAnsi="宋体" w:eastAsia="宋体" w:cs="宋体"/>
          <w:color w:val="auto"/>
          <w:sz w:val="24"/>
          <w:szCs w:val="24"/>
          <w:highlight w:val="none"/>
        </w:rPr>
      </w:pPr>
    </w:p>
    <w:p w14:paraId="7A8316D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14:paraId="37222277">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14:paraId="071CBBDB">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p w14:paraId="4B1A49FA">
      <w:pPr>
        <w:spacing w:line="360" w:lineRule="auto"/>
        <w:rPr>
          <w:rFonts w:hint="eastAsia" w:ascii="宋体" w:hAnsi="宋体" w:eastAsia="宋体" w:cs="宋体"/>
          <w:b/>
          <w:color w:val="auto"/>
          <w:sz w:val="24"/>
          <w:szCs w:val="24"/>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707"/>
        <w:gridCol w:w="709"/>
        <w:gridCol w:w="5386"/>
        <w:gridCol w:w="779"/>
        <w:gridCol w:w="935"/>
        <w:gridCol w:w="775"/>
      </w:tblGrid>
      <w:tr w14:paraId="3434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noWrap w:val="0"/>
            <w:vAlign w:val="center"/>
          </w:tcPr>
          <w:p w14:paraId="399C87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noWrap w:val="0"/>
            <w:vAlign w:val="center"/>
          </w:tcPr>
          <w:p w14:paraId="4576B9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6836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tcBorders>
              <w:top w:val="single" w:color="auto" w:sz="4" w:space="0"/>
              <w:left w:val="single" w:color="auto" w:sz="4" w:space="0"/>
              <w:bottom w:val="single" w:color="auto" w:sz="4" w:space="0"/>
              <w:right w:val="single" w:color="auto" w:sz="4" w:space="0"/>
            </w:tcBorders>
            <w:noWrap w:val="0"/>
            <w:vAlign w:val="center"/>
          </w:tcPr>
          <w:p w14:paraId="0792F85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A7652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w:t>
            </w:r>
          </w:p>
          <w:p w14:paraId="09304C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89F3F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0121E7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条目号</w:t>
            </w:r>
          </w:p>
        </w:tc>
        <w:tc>
          <w:tcPr>
            <w:tcW w:w="5386" w:type="dxa"/>
            <w:tcBorders>
              <w:top w:val="single" w:color="auto" w:sz="4" w:space="0"/>
              <w:left w:val="single" w:color="auto" w:sz="4" w:space="0"/>
              <w:bottom w:val="single" w:color="auto" w:sz="4" w:space="0"/>
              <w:right w:val="single" w:color="auto" w:sz="4" w:space="0"/>
            </w:tcBorders>
            <w:noWrap w:val="0"/>
            <w:vAlign w:val="center"/>
          </w:tcPr>
          <w:p w14:paraId="6F4D96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779" w:type="dxa"/>
            <w:tcBorders>
              <w:top w:val="single" w:color="auto" w:sz="4" w:space="0"/>
              <w:left w:val="single" w:color="auto" w:sz="4" w:space="0"/>
              <w:bottom w:val="single" w:color="auto" w:sz="4" w:space="0"/>
              <w:right w:val="single" w:color="auto" w:sz="4" w:space="0"/>
            </w:tcBorders>
            <w:noWrap w:val="0"/>
            <w:vAlign w:val="center"/>
          </w:tcPr>
          <w:p w14:paraId="555EDA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935" w:type="dxa"/>
            <w:tcBorders>
              <w:top w:val="single" w:color="auto" w:sz="4" w:space="0"/>
              <w:left w:val="single" w:color="auto" w:sz="4" w:space="0"/>
              <w:bottom w:val="single" w:color="auto" w:sz="4" w:space="0"/>
              <w:right w:val="single" w:color="auto" w:sz="4" w:space="0"/>
            </w:tcBorders>
            <w:noWrap w:val="0"/>
            <w:vAlign w:val="center"/>
          </w:tcPr>
          <w:p w14:paraId="52979B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83BD5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20A6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restart"/>
            <w:tcBorders>
              <w:top w:val="single" w:color="auto" w:sz="4" w:space="0"/>
              <w:left w:val="single" w:color="auto" w:sz="4" w:space="0"/>
              <w:right w:val="single" w:color="auto" w:sz="4" w:space="0"/>
            </w:tcBorders>
            <w:noWrap w:val="0"/>
            <w:vAlign w:val="center"/>
          </w:tcPr>
          <w:p w14:paraId="289D9B3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restart"/>
            <w:tcBorders>
              <w:top w:val="single" w:color="auto" w:sz="4" w:space="0"/>
              <w:left w:val="single" w:color="auto" w:sz="4" w:space="0"/>
              <w:right w:val="single" w:color="auto" w:sz="4" w:space="0"/>
            </w:tcBorders>
            <w:noWrap w:val="0"/>
            <w:vAlign w:val="center"/>
          </w:tcPr>
          <w:p w14:paraId="5F66C5B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03478F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1D1A7B5E">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3EC262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10B6C9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2BD49E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431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4A1927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2B440B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36F372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5226AAB7">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FF92B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9265F1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0CC84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460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0EECC0C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BE0C9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95BCB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0BCADE01">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256FF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322B7A9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92A0A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5443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42E4C32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DAE9A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406A4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2F65906E">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92C6E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7B47E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DD223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F11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54DBA4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00224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25D1B4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186B6305">
            <w:pPr>
              <w:keepNext w:val="0"/>
              <w:keepLines w:val="0"/>
              <w:suppressLineNumbers w:val="0"/>
              <w:tabs>
                <w:tab w:val="left" w:pos="624"/>
                <w:tab w:val="left" w:pos="2988"/>
                <w:tab w:val="left" w:pos="7849"/>
              </w:tabs>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5096B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A8B934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1CF311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49B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07D0080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641801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B1D01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63450969">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4C367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51F241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0D0E7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807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862F8C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918F9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194BAF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5B10D6F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6E492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71559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BE11B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1E0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004FDF4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7EB873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61FD577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4E6E002C">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6A99D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1427E2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CCFAC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CBB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1F47DC2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EDDFB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69E81C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609C115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610D3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3F321C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31492F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9AC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32CC4A3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213CC1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14FE09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6865AE8E">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30D34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A8554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225C9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52DE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2EAB50C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E6D7D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6716A5E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2E6DF828">
            <w:pPr>
              <w:keepNext w:val="0"/>
              <w:keepLines w:val="0"/>
              <w:suppressLineNumbers w:val="0"/>
              <w:tabs>
                <w:tab w:val="left" w:pos="992"/>
                <w:tab w:val="left" w:pos="1080"/>
              </w:tabs>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2C07C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45CFF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E015F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66EA8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493688B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2DE3CD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4A3DE8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6852CBE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C58E3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2B2F1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87DD7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67F4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A4CB73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D3615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08D562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6ACF363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910B2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98DF9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C56A6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0FD9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009CA3B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1990F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696065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521A8034">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604E83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B097A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2E773D1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679EB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761ADF5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6DB89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32EE45B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38D47A3E">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0EB6C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57C25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0767B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82AF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34BF1E1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A47B9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5876D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517DA1B9">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05E01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5FAAB61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1561F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1194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3969E2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6F09C1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CF566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5E2F91F8">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156E2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45AA15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94E15E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B47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197E0E6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707E8C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1918B63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4D1299CA">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910E0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52E36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C5A549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DDB7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3A5DB11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E5458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67D03BC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5E3C06AC">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5142A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AD1CF2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B53C6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D5D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700B947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7C4FA4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BA066C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2BCF8368">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9BC1D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EC19D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233CF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52C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1D5A4DE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7BE637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110285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48AA9D19">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B572C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7EF57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62B34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665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FC328C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ACBFC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4E4D63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3676A1C4">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B2555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1962B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7BFAE8E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8F36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1128B1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331CEF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46BEB09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42EC06FB">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1508F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E781B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0870DA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288F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1925AE0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1E77E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B0E660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04448D5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18CAF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3A30A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C87BF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6A1F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34226B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34F48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3F00655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11B9026B">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B289E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A3EF04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D5545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0F6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78F88F7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E6195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376D6C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18D98DEF">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A2AF5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8D2F46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BFFB1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E03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7848D50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2C5D59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44ADC54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6AEE13F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6EE2D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1405F7A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2FEADB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A7B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3924517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9B39C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32205B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696A2D3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13BAB8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8959E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0535B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879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257AE0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BDA59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40C5B17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4E83835E">
            <w:pPr>
              <w:keepNext w:val="0"/>
              <w:keepLines w:val="0"/>
              <w:suppressLineNumbers w:val="0"/>
              <w:tabs>
                <w:tab w:val="left" w:pos="1080"/>
              </w:tabs>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133A9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18634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212A0C3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00E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FEB9AC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71B349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7A3913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159484E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03B3D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1B824C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D181D7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51A0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3734467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682C41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7C8114C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4A0DF0E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5F5C43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26546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DFE3F3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7A7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22C315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67D0CF1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33C3DC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261BDCDC">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1F6E3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13A9C2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1380D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3A6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1C932E4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EB918F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1879F5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706BE3F6">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D0489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1842F9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F8A5C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1F86A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43D280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49388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5C217C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75266F04">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6DAD6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20DDE0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09946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A0E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0E7ABBC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EC451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493C92C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5C521EF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A0F0F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A1FAFA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7A454A7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984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bottom w:val="single" w:color="auto" w:sz="4" w:space="0"/>
              <w:right w:val="single" w:color="auto" w:sz="4" w:space="0"/>
            </w:tcBorders>
            <w:noWrap w:val="0"/>
            <w:vAlign w:val="center"/>
          </w:tcPr>
          <w:p w14:paraId="3EFA2DE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bottom w:val="single" w:color="auto" w:sz="4" w:space="0"/>
              <w:right w:val="single" w:color="auto" w:sz="4" w:space="0"/>
            </w:tcBorders>
            <w:noWrap w:val="0"/>
            <w:vAlign w:val="center"/>
          </w:tcPr>
          <w:p w14:paraId="59A4F9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5606A7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34591E62">
            <w:pPr>
              <w:pStyle w:val="6"/>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2CF11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9C15E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77C4B0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bl>
    <w:p w14:paraId="122574D0">
      <w:pPr>
        <w:tabs>
          <w:tab w:val="left" w:pos="5130"/>
        </w:tabs>
        <w:spacing w:line="360" w:lineRule="auto"/>
        <w:ind w:firstLine="480" w:firstLineChars="200"/>
        <w:rPr>
          <w:rFonts w:hint="eastAsia" w:ascii="宋体" w:hAnsi="宋体" w:eastAsia="宋体" w:cs="宋体"/>
          <w:color w:val="auto"/>
          <w:sz w:val="24"/>
          <w:szCs w:val="24"/>
          <w:highlight w:val="none"/>
        </w:rPr>
      </w:pPr>
    </w:p>
    <w:p w14:paraId="6150FA80">
      <w:pPr>
        <w:tabs>
          <w:tab w:val="left" w:pos="5130"/>
        </w:tabs>
        <w:spacing w:line="360" w:lineRule="auto"/>
        <w:ind w:firstLine="480" w:firstLineChars="200"/>
        <w:rPr>
          <w:rFonts w:hint="eastAsia" w:ascii="宋体" w:hAnsi="宋体" w:eastAsia="宋体" w:cs="宋体"/>
          <w:color w:val="auto"/>
          <w:sz w:val="24"/>
          <w:szCs w:val="24"/>
          <w:highlight w:val="none"/>
        </w:rPr>
      </w:pPr>
    </w:p>
    <w:p w14:paraId="0276DA85">
      <w:pPr>
        <w:spacing w:line="360" w:lineRule="auto"/>
        <w:rPr>
          <w:rFonts w:hint="eastAsia" w:ascii="宋体" w:hAnsi="宋体" w:eastAsia="宋体" w:cs="宋体"/>
          <w:color w:val="auto"/>
          <w:sz w:val="24"/>
          <w:szCs w:val="24"/>
          <w:highlight w:val="none"/>
        </w:rPr>
      </w:pPr>
    </w:p>
    <w:p w14:paraId="0358776E">
      <w:pPr>
        <w:spacing w:line="360" w:lineRule="auto"/>
        <w:rPr>
          <w:rFonts w:hint="eastAsia" w:ascii="宋体" w:hAnsi="宋体" w:eastAsia="宋体" w:cs="宋体"/>
          <w:b/>
          <w:bCs/>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10B80B27">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w:t>
      </w:r>
      <w:r>
        <w:rPr>
          <w:rFonts w:hint="eastAsia" w:ascii="宋体" w:hAnsi="宋体" w:eastAsia="宋体" w:cs="宋体"/>
          <w:b/>
          <w:color w:val="auto"/>
          <w:sz w:val="32"/>
          <w:szCs w:val="32"/>
          <w:highlight w:val="none"/>
        </w:rPr>
        <w:t xml:space="preserve">  </w:t>
      </w:r>
      <w:r>
        <w:rPr>
          <w:rFonts w:hint="default" w:ascii="宋体" w:hAnsi="宋体" w:cs="宋体"/>
          <w:b/>
          <w:color w:val="auto"/>
          <w:sz w:val="32"/>
          <w:szCs w:val="32"/>
          <w:highlight w:val="none"/>
        </w:rPr>
        <w:t>大宗</w:t>
      </w:r>
      <w:r>
        <w:rPr>
          <w:rFonts w:hint="eastAsia" w:ascii="宋体" w:hAnsi="宋体" w:eastAsia="宋体" w:cs="宋体"/>
          <w:b/>
          <w:color w:val="auto"/>
          <w:sz w:val="32"/>
          <w:szCs w:val="32"/>
          <w:highlight w:val="none"/>
        </w:rPr>
        <w:t>采购合同</w:t>
      </w:r>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5C1B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14:paraId="260BB13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314DA12E">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6EF6CD19">
      <w:pPr>
        <w:keepNext w:val="0"/>
        <w:keepLines w:val="0"/>
        <w:widowControl w:val="0"/>
        <w:suppressLineNumbers w:val="0"/>
        <w:spacing w:before="0" w:beforeAutospacing="0" w:after="0" w:afterAutospacing="0" w:line="360" w:lineRule="auto"/>
        <w:ind w:left="-284" w:right="0"/>
        <w:jc w:val="center"/>
        <w:rPr>
          <w:rFonts w:hint="eastAsia" w:ascii="宋体" w:hAnsi="宋体" w:eastAsia="宋体" w:cs="Times New Roman"/>
          <w:color w:val="auto"/>
          <w:kern w:val="2"/>
          <w:sz w:val="24"/>
          <w:szCs w:val="24"/>
          <w:highlight w:val="none"/>
        </w:rPr>
      </w:pPr>
      <w:bookmarkStart w:id="2" w:name="htmc"/>
      <w:bookmarkEnd w:id="2"/>
      <w:r>
        <w:rPr>
          <w:rFonts w:hint="eastAsia" w:ascii="宋体" w:hAnsi="宋体" w:eastAsia="宋体" w:cs="Times New Roman"/>
          <w:color w:val="auto"/>
          <w:kern w:val="2"/>
          <w:sz w:val="24"/>
          <w:szCs w:val="24"/>
          <w:highlight w:val="none"/>
          <w:lang w:val="en-US" w:eastAsia="zh-CN" w:bidi="ar"/>
        </w:rPr>
        <w:t xml:space="preserve">                                   </w:t>
      </w:r>
      <w:r>
        <w:rPr>
          <w:rFonts w:hint="eastAsia" w:ascii="宋体" w:hAnsi="宋体" w:eastAsia="宋体" w:cs="宋体"/>
          <w:color w:val="auto"/>
          <w:kern w:val="2"/>
          <w:sz w:val="24"/>
          <w:szCs w:val="24"/>
          <w:highlight w:val="none"/>
          <w:lang w:val="en-US" w:eastAsia="zh-CN" w:bidi="ar"/>
        </w:rPr>
        <w:t>合同编号：</w:t>
      </w:r>
      <w:bookmarkStart w:id="3" w:name="jfhtbh"/>
      <w:bookmarkEnd w:id="3"/>
    </w:p>
    <w:p w14:paraId="3D4EEAAD">
      <w:pPr>
        <w:spacing w:line="360" w:lineRule="auto"/>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 xml:space="preserve">第四章  政府采购合同 </w:t>
      </w:r>
    </w:p>
    <w:p w14:paraId="4943B91B">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tbl>
      <w:tblPr>
        <w:tblStyle w:val="12"/>
        <w:tblW w:w="8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7"/>
      </w:tblGrid>
      <w:tr w14:paraId="55D8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757" w:type="dxa"/>
            <w:tcBorders>
              <w:top w:val="single" w:color="auto" w:sz="4" w:space="0"/>
              <w:left w:val="single" w:color="auto" w:sz="4" w:space="0"/>
              <w:bottom w:val="single" w:color="auto" w:sz="4" w:space="0"/>
              <w:right w:val="single" w:color="auto" w:sz="4" w:space="0"/>
            </w:tcBorders>
          </w:tcPr>
          <w:p w14:paraId="1AC6CCC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注释： </w:t>
            </w:r>
          </w:p>
          <w:p w14:paraId="05EF8743">
            <w:pPr>
              <w:keepNext w:val="0"/>
              <w:keepLines w:val="0"/>
              <w:suppressLineNumbers w:val="0"/>
              <w:spacing w:before="0" w:beforeAutospacing="0" w:after="0" w:afterAutospacing="0" w:line="360" w:lineRule="auto"/>
              <w:ind w:left="0" w:right="0" w:firstLine="720" w:firstLineChars="300"/>
              <w:rPr>
                <w:rFonts w:hint="default" w:ascii="宋体" w:hAnsi="宋体" w:cs="宋体"/>
                <w:b/>
                <w:color w:val="auto"/>
                <w:sz w:val="24"/>
                <w:szCs w:val="24"/>
                <w:highlight w:val="none"/>
              </w:rPr>
            </w:pPr>
            <w:r>
              <w:rPr>
                <w:rFonts w:hint="eastAsia" w:ascii="宋体" w:hAnsi="宋体" w:cs="宋体"/>
                <w:color w:val="auto"/>
                <w:sz w:val="24"/>
                <w:szCs w:val="24"/>
                <w:highlight w:val="none"/>
              </w:rPr>
              <w:t>本合同为本项目招标（谈判）文件的重要组成部分。投标（报价）人对合同条款的任何负偏离将导致投标（报价）无效。</w:t>
            </w:r>
          </w:p>
          <w:p w14:paraId="716E3E57">
            <w:pPr>
              <w:keepNext w:val="0"/>
              <w:keepLines w:val="0"/>
              <w:suppressLineNumbers w:val="0"/>
              <w:spacing w:before="0" w:beforeAutospacing="0" w:after="0" w:afterAutospacing="0" w:line="360" w:lineRule="auto"/>
              <w:ind w:left="0" w:right="0" w:firstLine="720" w:firstLineChars="300"/>
              <w:rPr>
                <w:rFonts w:hint="default" w:ascii="宋体" w:hAnsi="宋体" w:cs="宋体"/>
                <w:color w:val="auto"/>
                <w:sz w:val="24"/>
                <w:szCs w:val="24"/>
                <w:highlight w:val="none"/>
              </w:rPr>
            </w:pPr>
            <w:r>
              <w:rPr>
                <w:rFonts w:hint="eastAsia" w:ascii="宋体" w:hAnsi="宋体" w:cs="宋体"/>
                <w:color w:val="auto"/>
                <w:sz w:val="24"/>
                <w:szCs w:val="24"/>
                <w:highlight w:val="none"/>
              </w:rPr>
              <w:t>若中标（成交）供应商的投标（报价）文件对合同条款的响应优于本合同条款的，以投标（报价）文件内容为准。</w:t>
            </w:r>
          </w:p>
        </w:tc>
      </w:tr>
    </w:tbl>
    <w:p w14:paraId="2400AB48">
      <w:pPr>
        <w:spacing w:line="360" w:lineRule="auto"/>
        <w:ind w:left="1321"/>
        <w:jc w:val="center"/>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XM2025-DZ0041C1</w:t>
      </w:r>
      <w:r>
        <w:rPr>
          <w:rFonts w:hint="eastAsia" w:ascii="宋体" w:hAnsi="宋体" w:cs="宋体"/>
          <w:b/>
          <w:bCs/>
          <w:color w:val="auto"/>
          <w:sz w:val="24"/>
          <w:szCs w:val="24"/>
          <w:highlight w:val="none"/>
        </w:rPr>
        <w:t>采购合同</w:t>
      </w:r>
    </w:p>
    <w:p w14:paraId="01EB5BCE">
      <w:pPr>
        <w:spacing w:line="360" w:lineRule="auto"/>
        <w:ind w:right="480"/>
        <w:jc w:val="center"/>
        <w:rPr>
          <w:rFonts w:ascii="宋体" w:hAnsi="宋体" w:cs="宋体"/>
          <w:color w:val="auto"/>
          <w:sz w:val="24"/>
          <w:szCs w:val="24"/>
          <w:highlight w:val="none"/>
        </w:rPr>
      </w:pPr>
    </w:p>
    <w:p w14:paraId="138A078B">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6B97DE9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49DE8BF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032ABB66">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57BB8D6E">
      <w:pPr>
        <w:keepNext w:val="0"/>
        <w:keepLines w:val="0"/>
        <w:widowControl w:val="0"/>
        <w:suppressLineNumbers w:val="0"/>
        <w:spacing w:before="0" w:beforeAutospacing="0" w:after="0" w:afterAutospacing="0" w:line="360" w:lineRule="auto"/>
        <w:ind w:left="0" w:right="0" w:firstLine="600" w:firstLineChars="25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根据买方对</w:t>
      </w:r>
      <w:r>
        <w:rPr>
          <w:rFonts w:hint="eastAsia" w:ascii="宋体" w:hAnsi="宋体" w:eastAsia="宋体" w:cs="宋体"/>
          <w:color w:val="auto"/>
          <w:kern w:val="2"/>
          <w:sz w:val="24"/>
          <w:szCs w:val="24"/>
          <w:highlight w:val="none"/>
          <w:u w:val="single"/>
          <w:lang w:val="en-US" w:eastAsia="zh-CN" w:bidi="ar"/>
        </w:rPr>
        <w:t xml:space="preserve">        （家具）</w:t>
      </w:r>
      <w:r>
        <w:rPr>
          <w:rFonts w:hint="eastAsia" w:ascii="宋体" w:hAnsi="宋体" w:eastAsia="宋体" w:cs="宋体"/>
          <w:color w:val="auto"/>
          <w:kern w:val="2"/>
          <w:sz w:val="24"/>
          <w:szCs w:val="24"/>
          <w:highlight w:val="none"/>
          <w:lang w:val="en-US" w:eastAsia="zh-CN" w:bidi="ar"/>
        </w:rPr>
        <w:t>进行采购（招标/项目编号：      ）的采购结果，现依照招标/采购文件、投标/报价文件及有关法律、法规、规章规定的内容，双方达成如下协议：</w:t>
      </w:r>
    </w:p>
    <w:p w14:paraId="19FEFB4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1、合同标的物和合同价格：</w:t>
      </w:r>
    </w:p>
    <w:tbl>
      <w:tblPr>
        <w:tblStyle w:val="1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2"/>
        <w:gridCol w:w="2118"/>
        <w:gridCol w:w="1808"/>
        <w:gridCol w:w="1820"/>
        <w:gridCol w:w="1271"/>
      </w:tblGrid>
      <w:tr w14:paraId="111BD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7DD55C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品名</w:t>
            </w:r>
          </w:p>
        </w:tc>
        <w:tc>
          <w:tcPr>
            <w:tcW w:w="1243" w:type="pct"/>
            <w:tcBorders>
              <w:top w:val="single" w:color="auto" w:sz="4" w:space="0"/>
              <w:left w:val="nil"/>
              <w:bottom w:val="single" w:color="auto" w:sz="4" w:space="0"/>
              <w:right w:val="single" w:color="auto" w:sz="4" w:space="0"/>
            </w:tcBorders>
            <w:shd w:val="clear" w:color="auto" w:fill="auto"/>
            <w:vAlign w:val="center"/>
          </w:tcPr>
          <w:p w14:paraId="45301CD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规格</w:t>
            </w:r>
          </w:p>
        </w:tc>
        <w:tc>
          <w:tcPr>
            <w:tcW w:w="1061" w:type="pct"/>
            <w:tcBorders>
              <w:top w:val="single" w:color="auto" w:sz="4" w:space="0"/>
              <w:left w:val="nil"/>
              <w:bottom w:val="single" w:color="auto" w:sz="4" w:space="0"/>
              <w:right w:val="single" w:color="auto" w:sz="4" w:space="0"/>
            </w:tcBorders>
            <w:shd w:val="clear" w:color="auto" w:fill="auto"/>
            <w:vAlign w:val="center"/>
          </w:tcPr>
          <w:p w14:paraId="3ADDA20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制造商</w:t>
            </w:r>
          </w:p>
        </w:tc>
        <w:tc>
          <w:tcPr>
            <w:tcW w:w="1068" w:type="pct"/>
            <w:tcBorders>
              <w:top w:val="single" w:color="auto" w:sz="4" w:space="0"/>
              <w:left w:val="nil"/>
              <w:bottom w:val="single" w:color="auto" w:sz="4" w:space="0"/>
              <w:right w:val="single" w:color="auto" w:sz="4" w:space="0"/>
            </w:tcBorders>
            <w:shd w:val="clear" w:color="auto" w:fill="auto"/>
            <w:vAlign w:val="center"/>
          </w:tcPr>
          <w:p w14:paraId="7642298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数量</w:t>
            </w:r>
          </w:p>
        </w:tc>
        <w:tc>
          <w:tcPr>
            <w:tcW w:w="744" w:type="pct"/>
            <w:tcBorders>
              <w:top w:val="single" w:color="auto" w:sz="4" w:space="0"/>
              <w:left w:val="nil"/>
              <w:bottom w:val="single" w:color="auto" w:sz="4" w:space="0"/>
              <w:right w:val="single" w:color="auto" w:sz="4" w:space="0"/>
            </w:tcBorders>
            <w:shd w:val="clear" w:color="auto" w:fill="auto"/>
            <w:vAlign w:val="center"/>
          </w:tcPr>
          <w:p w14:paraId="44933D3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eastAsia="宋体" w:cs="宋体"/>
                <w:color w:val="auto"/>
                <w:kern w:val="0"/>
                <w:sz w:val="24"/>
                <w:szCs w:val="24"/>
                <w:highlight w:val="none"/>
                <w:lang w:val="en-US" w:eastAsia="zh-CN" w:bidi="ar"/>
              </w:rPr>
              <w:t>金额（元）</w:t>
            </w:r>
          </w:p>
        </w:tc>
      </w:tr>
      <w:tr w14:paraId="5AC3F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882" w:type="pct"/>
            <w:tcBorders>
              <w:top w:val="nil"/>
              <w:left w:val="single" w:color="auto" w:sz="4" w:space="0"/>
              <w:bottom w:val="nil"/>
              <w:right w:val="single" w:color="auto" w:sz="4" w:space="0"/>
            </w:tcBorders>
            <w:shd w:val="clear" w:color="auto" w:fill="auto"/>
            <w:vAlign w:val="center"/>
          </w:tcPr>
          <w:p w14:paraId="6BC8CE84">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lang w:val="en-US" w:eastAsia="zh-CN" w:bidi="ar"/>
              </w:rPr>
              <w:t>家具</w:t>
            </w:r>
          </w:p>
        </w:tc>
        <w:tc>
          <w:tcPr>
            <w:tcW w:w="1243" w:type="pct"/>
            <w:tcBorders>
              <w:top w:val="nil"/>
              <w:left w:val="nil"/>
              <w:bottom w:val="single" w:color="auto" w:sz="4" w:space="0"/>
              <w:right w:val="single" w:color="auto" w:sz="4" w:space="0"/>
            </w:tcBorders>
            <w:shd w:val="clear" w:color="auto" w:fill="auto"/>
            <w:vAlign w:val="center"/>
          </w:tcPr>
          <w:p w14:paraId="5FC98379">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highlight w:val="none"/>
              </w:rPr>
            </w:pPr>
          </w:p>
        </w:tc>
        <w:tc>
          <w:tcPr>
            <w:tcW w:w="1061" w:type="pct"/>
            <w:tcBorders>
              <w:top w:val="nil"/>
              <w:left w:val="nil"/>
              <w:bottom w:val="single" w:color="auto" w:sz="4" w:space="0"/>
              <w:right w:val="single" w:color="auto" w:sz="4" w:space="0"/>
            </w:tcBorders>
            <w:shd w:val="clear" w:color="auto" w:fill="auto"/>
            <w:vAlign w:val="center"/>
          </w:tcPr>
          <w:p w14:paraId="00FA0BCC">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highlight w:val="none"/>
              </w:rPr>
            </w:pPr>
          </w:p>
        </w:tc>
        <w:tc>
          <w:tcPr>
            <w:tcW w:w="1068" w:type="pct"/>
            <w:tcBorders>
              <w:top w:val="nil"/>
              <w:left w:val="nil"/>
              <w:bottom w:val="single" w:color="auto" w:sz="4" w:space="0"/>
              <w:right w:val="single" w:color="auto" w:sz="4" w:space="0"/>
            </w:tcBorders>
            <w:shd w:val="clear" w:color="auto" w:fill="auto"/>
            <w:vAlign w:val="center"/>
          </w:tcPr>
          <w:p w14:paraId="3940C3A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lang w:val="en-US" w:eastAsia="zh-CN" w:bidi="ar"/>
              </w:rPr>
              <w:t>1批（详见附件1《供货清单》）</w:t>
            </w:r>
          </w:p>
        </w:tc>
        <w:tc>
          <w:tcPr>
            <w:tcW w:w="744" w:type="pct"/>
            <w:tcBorders>
              <w:top w:val="nil"/>
              <w:left w:val="nil"/>
              <w:bottom w:val="single" w:color="auto" w:sz="4" w:space="0"/>
              <w:right w:val="single" w:color="auto" w:sz="4" w:space="0"/>
            </w:tcBorders>
            <w:shd w:val="clear" w:color="auto" w:fill="auto"/>
            <w:vAlign w:val="center"/>
          </w:tcPr>
          <w:p w14:paraId="34EC3BC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lang w:val="en-US" w:eastAsia="zh-CN" w:bidi="ar"/>
              </w:rPr>
              <w:t>￥</w:t>
            </w:r>
          </w:p>
        </w:tc>
      </w:tr>
      <w:tr w14:paraId="4071C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65357C67">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bCs/>
                <w:color w:val="auto"/>
                <w:kern w:val="2"/>
                <w:sz w:val="24"/>
                <w:szCs w:val="24"/>
                <w:highlight w:val="none"/>
              </w:rPr>
            </w:pPr>
            <w:r>
              <w:rPr>
                <w:rFonts w:hint="eastAsia" w:ascii="宋体" w:hAnsi="宋体" w:eastAsia="宋体" w:cs="宋体"/>
                <w:b/>
                <w:bCs/>
                <w:color w:val="auto"/>
                <w:kern w:val="0"/>
                <w:sz w:val="24"/>
                <w:szCs w:val="24"/>
                <w:highlight w:val="none"/>
                <w:lang w:val="en-US" w:eastAsia="zh-CN" w:bidi="ar"/>
              </w:rPr>
              <w:t>中标总价：</w:t>
            </w:r>
            <w:r>
              <w:rPr>
                <w:rFonts w:hint="eastAsia" w:ascii="宋体" w:hAnsi="宋体" w:eastAsia="宋体" w:cs="宋体"/>
                <w:b/>
                <w:bCs w:val="0"/>
                <w:color w:val="auto"/>
                <w:kern w:val="2"/>
                <w:sz w:val="24"/>
                <w:szCs w:val="24"/>
                <w:highlight w:val="none"/>
                <w:lang w:val="en-US" w:eastAsia="zh-CN" w:bidi="ar"/>
              </w:rPr>
              <w:t xml:space="preserve">￥     元（人民币   </w:t>
            </w:r>
            <w:r>
              <w:rPr>
                <w:rFonts w:hint="eastAsia" w:ascii="宋体" w:hAnsi="宋体" w:eastAsia="宋体" w:cs="宋体"/>
                <w:color w:val="auto"/>
                <w:kern w:val="0"/>
                <w:sz w:val="24"/>
                <w:szCs w:val="24"/>
                <w:highlight w:val="none"/>
                <w:lang w:val="en-US" w:eastAsia="zh-CN" w:bidi="ar"/>
              </w:rPr>
              <w:t>元整</w:t>
            </w:r>
            <w:r>
              <w:rPr>
                <w:rFonts w:hint="eastAsia" w:ascii="宋体" w:hAnsi="宋体" w:eastAsia="宋体" w:cs="宋体"/>
                <w:b/>
                <w:bCs w:val="0"/>
                <w:color w:val="auto"/>
                <w:kern w:val="2"/>
                <w:sz w:val="24"/>
                <w:szCs w:val="24"/>
                <w:highlight w:val="none"/>
                <w:lang w:val="en-US" w:eastAsia="zh-CN" w:bidi="ar"/>
              </w:rPr>
              <w:t>），</w:t>
            </w:r>
            <w:r>
              <w:rPr>
                <w:rFonts w:hint="eastAsia" w:ascii="宋体" w:hAnsi="宋体" w:eastAsia="宋体" w:cs="宋体"/>
                <w:bCs/>
                <w:color w:val="auto"/>
                <w:kern w:val="2"/>
                <w:sz w:val="24"/>
                <w:szCs w:val="24"/>
                <w:highlight w:val="none"/>
                <w:lang w:val="en-US" w:eastAsia="zh-CN" w:bidi="ar"/>
              </w:rPr>
              <w:t>货物验收完成后的维修保障等售后服务由卖方与使用单位另行签订维保服务合同单独约定，与本合同各自独立履行、互不影响。</w:t>
            </w:r>
          </w:p>
        </w:tc>
      </w:tr>
      <w:tr w14:paraId="4AE04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1EE594B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val="en-US" w:eastAsia="zh-CN" w:bidi="ar"/>
              </w:rPr>
              <w:t xml:space="preserve">备注说明： 本项目使用单位（最终用户）：                  </w:t>
            </w:r>
            <w:r>
              <w:rPr>
                <w:rFonts w:hint="eastAsia" w:ascii="宋体" w:hAnsi="宋体" w:eastAsia="宋体" w:cs="宋体"/>
                <w:b/>
                <w:bCs w:val="0"/>
                <w:color w:val="auto"/>
                <w:kern w:val="2"/>
                <w:sz w:val="24"/>
                <w:szCs w:val="24"/>
                <w:highlight w:val="none"/>
                <w:u w:val="single"/>
                <w:lang w:val="en-US" w:eastAsia="zh-CN" w:bidi="ar"/>
              </w:rPr>
              <w:t>。</w:t>
            </w:r>
          </w:p>
        </w:tc>
      </w:tr>
    </w:tbl>
    <w:p w14:paraId="7D7D079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2、交货</w:t>
      </w:r>
    </w:p>
    <w:p w14:paraId="69E845D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2.1交货方式：卖方负责送货到交货地点完成安装，并承担运输过程中发生的一切费用及风险。</w:t>
      </w:r>
    </w:p>
    <w:p w14:paraId="584D7AF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lang w:val="en-US" w:eastAsia="zh-CN" w:bidi="ar"/>
        </w:rPr>
        <w:t>2.2交货地点：使用单位指定地点。</w:t>
      </w:r>
    </w:p>
    <w:p w14:paraId="6B551A7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2.3交付使用期: 合同签订之日起  个日历日内（含交货、安装），如使用单位原因或其它现场不具备条件影响送货和安装的，则交货、安装时间相应顺延。</w:t>
      </w:r>
    </w:p>
    <w:p w14:paraId="574FFE0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2.4到货签收：卖方每批次供货到指定地点后，卖方应当组织使用单位对到货数量、型号等进行清点签收，并向买方提交使用单位签署的到货签收单原件。</w:t>
      </w:r>
    </w:p>
    <w:p w14:paraId="638DE1C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3、采购清单：</w:t>
      </w:r>
      <w:r>
        <w:rPr>
          <w:rFonts w:hint="eastAsia" w:ascii="宋体" w:hAnsi="宋体" w:eastAsia="宋体" w:cs="宋体"/>
          <w:b w:val="0"/>
          <w:bCs/>
          <w:color w:val="auto"/>
          <w:kern w:val="2"/>
          <w:sz w:val="24"/>
          <w:szCs w:val="24"/>
          <w:highlight w:val="none"/>
          <w:lang w:val="en-US" w:eastAsia="zh-CN" w:bidi="ar"/>
        </w:rPr>
        <w:t xml:space="preserve"> 详见附件1“供货清单”。</w:t>
      </w:r>
    </w:p>
    <w:p w14:paraId="64436FA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4、付款条件、方式与履约保证金</w:t>
      </w:r>
    </w:p>
    <w:p w14:paraId="5B7DF57C">
      <w:pPr>
        <w:pStyle w:val="9"/>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4.1付款条件</w:t>
      </w:r>
    </w:p>
    <w:p w14:paraId="6765C754">
      <w:pPr>
        <w:pStyle w:val="9"/>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卖方同意，待买方收到使用单位足额货款后，买方按4.2约定向卖方付款。</w:t>
      </w:r>
    </w:p>
    <w:p w14:paraId="35ADFEA0">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4.2付款方式</w:t>
      </w:r>
    </w:p>
    <w:p w14:paraId="140765FD">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lang w:val="en-US" w:eastAsia="zh-CN" w:bidi="ar"/>
        </w:rPr>
        <w:t>4.2.1</w:t>
      </w:r>
      <w:r>
        <w:rPr>
          <w:rFonts w:hint="eastAsia" w:ascii="宋体" w:hAnsi="宋体" w:eastAsia="宋体" w:cs="宋体"/>
          <w:color w:val="auto"/>
          <w:kern w:val="0"/>
          <w:sz w:val="24"/>
          <w:szCs w:val="24"/>
          <w:highlight w:val="none"/>
          <w:lang w:val="en-US" w:eastAsia="zh-CN" w:bidi="ar"/>
        </w:rPr>
        <w:t>合同签订后7个工作日内，</w:t>
      </w:r>
      <w:r>
        <w:rPr>
          <w:rFonts w:hint="eastAsia" w:ascii="宋体" w:hAnsi="宋体" w:eastAsia="宋体" w:cs="宋体"/>
          <w:color w:val="auto"/>
          <w:kern w:val="2"/>
          <w:sz w:val="24"/>
          <w:szCs w:val="24"/>
          <w:highlight w:val="none"/>
          <w:lang w:val="en-US" w:eastAsia="zh-CN" w:bidi="ar"/>
        </w:rPr>
        <w:t>卖方向买方</w:t>
      </w:r>
      <w:r>
        <w:rPr>
          <w:rFonts w:hint="eastAsia" w:ascii="宋体" w:hAnsi="宋体" w:eastAsia="宋体" w:cs="宋体"/>
          <w:color w:val="auto"/>
          <w:kern w:val="0"/>
          <w:sz w:val="24"/>
          <w:szCs w:val="24"/>
          <w:highlight w:val="none"/>
          <w:lang w:val="en-US" w:eastAsia="zh-CN" w:bidi="ar"/>
        </w:rPr>
        <w:t>支付合同总价的3%作为项目履约保证金，履约保证金可以转账、支票、汇票、本票或金融机构、担保机构出具的保函等形式交纳，且在合同签订时一并提交，质量保证期届满且无合同纠纷后7个工作日内，向</w:t>
      </w:r>
      <w:r>
        <w:rPr>
          <w:rFonts w:hint="eastAsia" w:ascii="宋体" w:hAnsi="宋体" w:eastAsia="宋体" w:cs="宋体"/>
          <w:color w:val="auto"/>
          <w:kern w:val="2"/>
          <w:sz w:val="24"/>
          <w:szCs w:val="24"/>
          <w:highlight w:val="none"/>
          <w:lang w:val="en-US" w:eastAsia="zh-CN" w:bidi="ar"/>
        </w:rPr>
        <w:t>中标/成交</w:t>
      </w:r>
      <w:r>
        <w:rPr>
          <w:rFonts w:hint="eastAsia" w:ascii="宋体" w:hAnsi="宋体" w:eastAsia="宋体" w:cs="宋体"/>
          <w:color w:val="auto"/>
          <w:kern w:val="0"/>
          <w:sz w:val="24"/>
          <w:szCs w:val="24"/>
          <w:highlight w:val="none"/>
          <w:lang w:val="en-US" w:eastAsia="zh-CN" w:bidi="ar"/>
        </w:rPr>
        <w:t>供应商无息返还合同总价的3%履约保证金。</w:t>
      </w:r>
    </w:p>
    <w:p w14:paraId="1A5D7EF8">
      <w:pPr>
        <w:keepNext w:val="0"/>
        <w:keepLines w:val="0"/>
        <w:widowControl w:val="0"/>
        <w:suppressLineNumbers w:val="0"/>
        <w:tabs>
          <w:tab w:val="left" w:pos="5130"/>
        </w:tabs>
        <w:spacing w:before="0" w:beforeAutospacing="0" w:after="0" w:afterAutospacing="0" w:line="360" w:lineRule="auto"/>
        <w:ind w:left="477" w:leftChars="227" w:right="0" w:firstLine="0" w:firstLineChars="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lang w:val="en-US" w:eastAsia="zh-CN" w:bidi="ar"/>
        </w:rPr>
        <w:t>4.2.2</w:t>
      </w:r>
      <w:r>
        <w:rPr>
          <w:rFonts w:hint="eastAsia" w:ascii="宋体" w:hAnsi="宋体" w:eastAsia="宋体" w:cs="宋体"/>
          <w:color w:val="auto"/>
          <w:kern w:val="2"/>
          <w:sz w:val="24"/>
          <w:szCs w:val="24"/>
          <w:highlight w:val="none"/>
          <w:lang w:val="en-US" w:eastAsia="zh-CN" w:bidi="ar"/>
        </w:rPr>
        <w:t>合同签订后15个工作日内，买方向卖方支付合同总价   %的预付款。</w:t>
      </w:r>
    </w:p>
    <w:p w14:paraId="2406F2D7">
      <w:pPr>
        <w:keepNext w:val="0"/>
        <w:keepLines w:val="0"/>
        <w:widowControl w:val="0"/>
        <w:suppressLineNumbers w:val="0"/>
        <w:tabs>
          <w:tab w:val="left" w:pos="5130"/>
        </w:tabs>
        <w:spacing w:before="0" w:beforeAutospacing="0" w:after="0" w:afterAutospacing="0" w:line="360" w:lineRule="auto"/>
        <w:ind w:left="0" w:leftChars="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lang w:val="en-US" w:eastAsia="zh-CN" w:bidi="ar"/>
        </w:rPr>
        <w:t>4.2.3</w:t>
      </w:r>
      <w:r>
        <w:rPr>
          <w:rFonts w:hint="eastAsia" w:ascii="宋体" w:hAnsi="宋体" w:eastAsia="宋体" w:cs="宋体"/>
          <w:color w:val="auto"/>
          <w:kern w:val="2"/>
          <w:sz w:val="24"/>
          <w:szCs w:val="24"/>
          <w:highlight w:val="none"/>
          <w:lang w:val="en-US" w:eastAsia="zh-CN" w:bidi="ar"/>
        </w:rPr>
        <w:t>卖方供货安装、调试完毕，使用单位验收合格后，卖方开具合同总价100%的正规发票、《厦门市大宗货物政府采购供货验收单》（附件2）、全部货物清单和卖方与使用单位签订的维保服务合同一份给买方，买方在7个工作日内向卖方支付至本合同总价100%的款项。</w:t>
      </w:r>
    </w:p>
    <w:p w14:paraId="1A360901">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中标/成交供应商为中小企业：</w:t>
      </w:r>
    </w:p>
    <w:p w14:paraId="09E76686">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lang w:val="en-US" w:eastAsia="zh-CN" w:bidi="ar"/>
        </w:rPr>
        <w:t>4.2.1</w:t>
      </w:r>
      <w:r>
        <w:rPr>
          <w:rFonts w:hint="eastAsia" w:ascii="宋体" w:hAnsi="宋体" w:eastAsia="宋体" w:cs="宋体"/>
          <w:color w:val="auto"/>
          <w:kern w:val="0"/>
          <w:sz w:val="24"/>
          <w:szCs w:val="24"/>
          <w:highlight w:val="none"/>
          <w:lang w:val="en-US" w:eastAsia="zh-CN" w:bidi="ar"/>
        </w:rPr>
        <w:t>合同签订后7个工作日内，</w:t>
      </w:r>
      <w:r>
        <w:rPr>
          <w:rFonts w:hint="eastAsia" w:ascii="宋体" w:hAnsi="宋体" w:eastAsia="宋体" w:cs="宋体"/>
          <w:color w:val="auto"/>
          <w:kern w:val="2"/>
          <w:sz w:val="24"/>
          <w:szCs w:val="24"/>
          <w:highlight w:val="none"/>
          <w:lang w:val="en-US" w:eastAsia="zh-CN" w:bidi="ar"/>
        </w:rPr>
        <w:t>卖方向买方</w:t>
      </w:r>
      <w:r>
        <w:rPr>
          <w:rFonts w:hint="eastAsia" w:ascii="宋体" w:hAnsi="宋体" w:eastAsia="宋体" w:cs="宋体"/>
          <w:color w:val="auto"/>
          <w:kern w:val="0"/>
          <w:sz w:val="24"/>
          <w:szCs w:val="24"/>
          <w:highlight w:val="none"/>
          <w:lang w:val="en-US" w:eastAsia="zh-CN" w:bidi="ar"/>
        </w:rPr>
        <w:t>支付合同总价的1.5%作为项目履约保证金，履约保证金可以转账、支票、汇票、本票或金融机构、担保机构出具的保函等形式交纳，且在合同签订时一并提交，质量保证期届满且无合同纠纷后7个工作日内，向</w:t>
      </w:r>
      <w:r>
        <w:rPr>
          <w:rFonts w:hint="eastAsia" w:ascii="宋体" w:hAnsi="宋体" w:eastAsia="宋体" w:cs="宋体"/>
          <w:color w:val="auto"/>
          <w:kern w:val="2"/>
          <w:sz w:val="24"/>
          <w:szCs w:val="24"/>
          <w:highlight w:val="none"/>
          <w:lang w:val="en-US" w:eastAsia="zh-CN" w:bidi="ar"/>
        </w:rPr>
        <w:t>中标/成交</w:t>
      </w:r>
      <w:r>
        <w:rPr>
          <w:rFonts w:hint="eastAsia" w:ascii="宋体" w:hAnsi="宋体" w:eastAsia="宋体" w:cs="宋体"/>
          <w:color w:val="auto"/>
          <w:kern w:val="0"/>
          <w:sz w:val="24"/>
          <w:szCs w:val="24"/>
          <w:highlight w:val="none"/>
          <w:lang w:val="en-US" w:eastAsia="zh-CN" w:bidi="ar"/>
        </w:rPr>
        <w:t>供应商无息返还合同总价的1.5%履约保证金。</w:t>
      </w:r>
    </w:p>
    <w:p w14:paraId="37B139B4">
      <w:pPr>
        <w:keepNext w:val="0"/>
        <w:keepLines w:val="0"/>
        <w:widowControl w:val="0"/>
        <w:suppressLineNumbers w:val="0"/>
        <w:tabs>
          <w:tab w:val="left" w:pos="5130"/>
        </w:tabs>
        <w:spacing w:before="0" w:beforeAutospacing="0" w:after="0" w:afterAutospacing="0" w:line="360" w:lineRule="auto"/>
        <w:ind w:left="477" w:leftChars="227" w:right="0" w:firstLine="0" w:firstLineChars="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lang w:val="en-US" w:eastAsia="zh-CN" w:bidi="ar"/>
        </w:rPr>
        <w:t>4.2.2</w:t>
      </w:r>
      <w:r>
        <w:rPr>
          <w:rFonts w:hint="eastAsia" w:ascii="宋体" w:hAnsi="宋体" w:eastAsia="宋体" w:cs="宋体"/>
          <w:color w:val="auto"/>
          <w:kern w:val="2"/>
          <w:sz w:val="24"/>
          <w:szCs w:val="24"/>
          <w:highlight w:val="none"/>
          <w:lang w:val="en-US" w:eastAsia="zh-CN" w:bidi="ar"/>
        </w:rPr>
        <w:t>合同签订后15个工作日内，买方向卖方支付合同总价   %的预付款。</w:t>
      </w:r>
    </w:p>
    <w:p w14:paraId="297494FF">
      <w:pPr>
        <w:keepNext w:val="0"/>
        <w:keepLines w:val="0"/>
        <w:widowControl w:val="0"/>
        <w:suppressLineNumbers w:val="0"/>
        <w:tabs>
          <w:tab w:val="left" w:pos="5130"/>
        </w:tabs>
        <w:spacing w:before="0" w:beforeAutospacing="0" w:after="0" w:afterAutospacing="0" w:line="360" w:lineRule="auto"/>
        <w:ind w:left="0" w:leftChars="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0"/>
          <w:sz w:val="24"/>
          <w:szCs w:val="24"/>
          <w:highlight w:val="none"/>
          <w:lang w:val="en-US" w:eastAsia="zh-CN" w:bidi="ar"/>
        </w:rPr>
        <w:t>4.2.3</w:t>
      </w:r>
      <w:r>
        <w:rPr>
          <w:rFonts w:hint="eastAsia" w:ascii="宋体" w:hAnsi="宋体" w:eastAsia="宋体" w:cs="宋体"/>
          <w:color w:val="auto"/>
          <w:kern w:val="2"/>
          <w:sz w:val="24"/>
          <w:szCs w:val="24"/>
          <w:highlight w:val="none"/>
          <w:lang w:val="en-US" w:eastAsia="zh-CN" w:bidi="ar"/>
        </w:rPr>
        <w:t>卖方供货安装、调试完毕，使用单位验收合格后，卖方开具合同总价100%的正规发票、《厦门市大宗货物政府采购供货验收单》（附件2）和全部货物清单和卖方与使用单位签订的维保服务合同一份给买方，买方在7个工作日内向卖方支付至本合同总价100%的款项。</w:t>
      </w:r>
    </w:p>
    <w:p w14:paraId="73F5876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5、技术资料：</w:t>
      </w:r>
    </w:p>
    <w:p w14:paraId="78461F74">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5.1卖方应在交付使用时向使用单位提供配套资料1套。</w:t>
      </w:r>
    </w:p>
    <w:p w14:paraId="6877715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5.2卖方在交货时应向使用单位提供货物的相关手续，包括品牌证书、装箱清单含货物的主附件、原产地证明书、品质保证书、出厂检验报告、合格证书、使用及维护说明书等。</w:t>
      </w:r>
    </w:p>
    <w:p w14:paraId="0CCC0A0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6、验收</w:t>
      </w:r>
    </w:p>
    <w:p w14:paraId="63BE501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6.1合同货物到达交货地点且卖方完成安装工作后，买卖双方同意，合同货物由使用单位验收并以使用单位的验收意见为准。合同货物安装后经使用单位验收合格视为最终验收合格。</w:t>
      </w:r>
    </w:p>
    <w:p w14:paraId="46D04044">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6.2合同货物验收时，由使用单位签署</w:t>
      </w:r>
      <w:r>
        <w:rPr>
          <w:rFonts w:hint="eastAsia" w:ascii="宋体" w:hAnsi="宋体" w:eastAsia="宋体" w:cs="宋体"/>
          <w:color w:val="auto"/>
          <w:kern w:val="2"/>
          <w:sz w:val="24"/>
          <w:szCs w:val="24"/>
          <w:highlight w:val="none"/>
          <w:lang w:val="en-US" w:eastAsia="zh-CN" w:bidi="ar"/>
        </w:rPr>
        <w:t>《厦门市大宗货物政府采购供货验收单》（附件2）</w:t>
      </w:r>
      <w:r>
        <w:rPr>
          <w:rFonts w:hint="eastAsia" w:ascii="宋体" w:hAnsi="宋体" w:eastAsia="宋体" w:cs="宋体"/>
          <w:color w:val="auto"/>
          <w:kern w:val="2"/>
          <w:sz w:val="24"/>
          <w:szCs w:val="24"/>
          <w:highlight w:val="none"/>
          <w:lang w:val="en-US" w:eastAsia="zh-CN" w:bidi="ar"/>
        </w:rPr>
        <w:t>。</w:t>
      </w:r>
    </w:p>
    <w:p w14:paraId="2312EB2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6.3卖方应派代表参与验收过程，卖方未派代表参与或对验收意见有异议但未在验收完成后3个工作日内书面提出的，视为卖方对验收意见无异议。</w:t>
      </w:r>
    </w:p>
    <w:p w14:paraId="0312595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6.4最终验收合格后，卖方应在使用单位要求的时间内直接交付使用单位使用。合同货物交付使用前由卖方负责保管，合同货物的毁损或灭失风险由卖方承担。</w:t>
      </w:r>
    </w:p>
    <w:p w14:paraId="59E1866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7、售后服务</w:t>
      </w:r>
    </w:p>
    <w:p w14:paraId="743254B4">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货物验收后的维修保障等售后服务由卖方直接向使用单位提供，卖方应就货物维修保障等售后服务与使用单位另行签订相应维保服务合同，买方不向使用单位承担售后服务义务。</w:t>
      </w:r>
    </w:p>
    <w:p w14:paraId="120049B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8、知识产权</w:t>
      </w:r>
    </w:p>
    <w:p w14:paraId="169C894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0BBCEDE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9、违约责任</w:t>
      </w:r>
    </w:p>
    <w:p w14:paraId="1B05A25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9.1卖方未能按时交货或未能按时交付使用的，每逾期一日，卖方应支付逾期交货货款千分之一的违约金。逾期超过10个日历日，买方有权单方解除本合同，卖方应另外支付合同总价20％的违约金。</w:t>
      </w:r>
    </w:p>
    <w:p w14:paraId="57E2EAD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9.2合同货物验收不合格的，买方有权选择解除合同或换货。如买方选择换货，卖方重新供货导致的交货期延迟的，按9.1条处理；若买方选择单方解除合同的，卖方支付合同总价20%的违约金。</w:t>
      </w:r>
    </w:p>
    <w:p w14:paraId="465A26E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9.3</w:t>
      </w:r>
      <w:r>
        <w:rPr>
          <w:rFonts w:hint="eastAsia" w:ascii="宋体" w:hAnsi="宋体" w:eastAsia="宋体" w:cs="宋体"/>
          <w:bCs/>
          <w:color w:val="auto"/>
          <w:kern w:val="0"/>
          <w:sz w:val="24"/>
          <w:szCs w:val="24"/>
          <w:highlight w:val="none"/>
          <w:lang w:val="en-US" w:eastAsia="zh-CN" w:bidi="ar"/>
        </w:rPr>
        <w:t>卖方应保证提供原产、正宗品牌货物，不得用伪劣货物替代。否则，如</w:t>
      </w:r>
      <w:r>
        <w:rPr>
          <w:rFonts w:hint="eastAsia" w:ascii="宋体" w:hAnsi="宋体" w:eastAsia="宋体" w:cs="宋体"/>
          <w:color w:val="auto"/>
          <w:kern w:val="2"/>
          <w:sz w:val="24"/>
          <w:szCs w:val="24"/>
          <w:highlight w:val="none"/>
          <w:lang w:val="en-US" w:eastAsia="zh-CN" w:bidi="ar"/>
        </w:rPr>
        <w:t>在合同货物最终验收合格前发现的，按9.2条处理；在合同货物最终验收合格后发现的，买方有权退货，卖方应另外向买方支付合同总价20％的违约金。</w:t>
      </w:r>
    </w:p>
    <w:p w14:paraId="6E068DC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bidi="ar"/>
        </w:rPr>
        <w:t>9.4在生产过程或验收过程中发现卖方对中标货物进行分包、转包，买方有权单方解除合同并有权拒付全部货款。</w:t>
      </w:r>
    </w:p>
    <w:p w14:paraId="266CAFB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bCs/>
          <w:color w:val="auto"/>
          <w:kern w:val="0"/>
          <w:sz w:val="24"/>
          <w:szCs w:val="24"/>
          <w:highlight w:val="none"/>
          <w:lang w:val="en-US" w:eastAsia="zh-CN" w:bidi="ar"/>
        </w:rPr>
        <w:t>9.5卖方有虚报各项技术指标等</w:t>
      </w:r>
      <w:r>
        <w:rPr>
          <w:rFonts w:hint="eastAsia" w:ascii="宋体" w:hAnsi="宋体" w:eastAsia="宋体" w:cs="宋体"/>
          <w:color w:val="auto"/>
          <w:kern w:val="2"/>
          <w:sz w:val="24"/>
          <w:szCs w:val="24"/>
          <w:highlight w:val="none"/>
          <w:lang w:val="en-US" w:eastAsia="zh-CN" w:bidi="ar"/>
        </w:rPr>
        <w:t>弄虚作假、隐瞒事实内容等情形</w:t>
      </w:r>
      <w:r>
        <w:rPr>
          <w:rFonts w:hint="eastAsia" w:ascii="宋体" w:hAnsi="宋体" w:eastAsia="宋体" w:cs="宋体"/>
          <w:bCs/>
          <w:color w:val="auto"/>
          <w:kern w:val="0"/>
          <w:sz w:val="24"/>
          <w:szCs w:val="24"/>
          <w:highlight w:val="none"/>
          <w:lang w:val="en-US" w:eastAsia="zh-CN" w:bidi="ar"/>
        </w:rPr>
        <w:t>，</w:t>
      </w:r>
      <w:r>
        <w:rPr>
          <w:rFonts w:hint="eastAsia" w:ascii="宋体" w:hAnsi="宋体" w:eastAsia="宋体" w:cs="宋体"/>
          <w:color w:val="auto"/>
          <w:kern w:val="2"/>
          <w:sz w:val="24"/>
          <w:szCs w:val="24"/>
          <w:highlight w:val="none"/>
          <w:lang w:val="en-US" w:eastAsia="zh-CN" w:bidi="ar"/>
        </w:rPr>
        <w:t>在合同货物最终验收合格前发现的，按9.2条处理；在合同货物最终验收合格后发现的，买方有权退货，卖方应另外向买方支付合同总价20％的违约金。</w:t>
      </w:r>
    </w:p>
    <w:p w14:paraId="09D06D2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9.6买方根据本合同约定提出换货、退货或解除合同的、或因卖方原因导致退换货的，卖方应在收到买方或使用单位通知后7个工作日内自行收回需退换货的货物，并承担退换货所需的一切费用。如卖方未在规定时间内收回货物，买方不对上述货物的灭失或损坏承担任何责任。如卖方7个日历日未收回的，买方有权自行处理上述货物。</w:t>
      </w:r>
    </w:p>
    <w:p w14:paraId="41BEA95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9.7除本合同另有约定外，在买方发出的违约通知后30天内仍未纠正其任何一种违约行为，买方有权单方解除本合同，卖方除应退还买方已支付的款项外，还应向买方支付合同总价20％的违约金。</w:t>
      </w:r>
    </w:p>
    <w:p w14:paraId="484ACB57">
      <w:pPr>
        <w:keepNext w:val="0"/>
        <w:keepLines w:val="0"/>
        <w:widowControl w:val="0"/>
        <w:suppressLineNumbers w:val="0"/>
        <w:spacing w:before="0" w:beforeAutospacing="0" w:after="0" w:afterAutospacing="0" w:line="360" w:lineRule="auto"/>
        <w:ind w:left="0" w:right="0" w:firstLine="460" w:firstLineChars="192"/>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9.8本合同约定的违约金无法弥补买方损失的，卖方应继续承担相应的赔偿责任。买方有权直接从未付的款项中扣除卖方根据本合同约定应付未付的违约金、赔偿金等。</w:t>
      </w:r>
    </w:p>
    <w:p w14:paraId="2CD7D3C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10、不可抗力</w:t>
      </w:r>
    </w:p>
    <w:p w14:paraId="4DF62B4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6406331F">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10.2本合同中的不可抗力指不能预见、不能避免并不能克服的客观情况。包括但不限于：自然灾害如地震、台风、洪水、火灾；政府行为、法律规定或其适用的变化或者其他任何无法预见、避免或者控制的事件。</w:t>
      </w:r>
    </w:p>
    <w:p w14:paraId="75D1B79E">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b/>
          <w:bCs w:val="0"/>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10.3当事人一方因不可抗力的原因不能履行合同的，应及时通知对方，以减轻可能给对方造成的损失，并应当在合理期限内提供证明。</w:t>
      </w:r>
    </w:p>
    <w:p w14:paraId="223C046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bidi="ar"/>
        </w:rPr>
        <w:t>11、合同纠纷处理方式</w:t>
      </w:r>
    </w:p>
    <w:p w14:paraId="49C04C8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因本合同或与本合同有关的一切事项发生争议，由双方友好协商解决。协商不成的，任何一方均可向合同履行地（交货地）人民法院提起诉讼。</w:t>
      </w:r>
    </w:p>
    <w:p w14:paraId="10B349F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color w:val="auto"/>
          <w:kern w:val="0"/>
          <w:sz w:val="24"/>
          <w:szCs w:val="24"/>
          <w:highlight w:val="none"/>
        </w:rPr>
      </w:pPr>
      <w:r>
        <w:rPr>
          <w:rFonts w:hint="eastAsia" w:ascii="宋体" w:hAnsi="宋体" w:eastAsia="宋体" w:cs="宋体"/>
          <w:b/>
          <w:bCs w:val="0"/>
          <w:color w:val="auto"/>
          <w:kern w:val="2"/>
          <w:sz w:val="24"/>
          <w:szCs w:val="24"/>
          <w:highlight w:val="none"/>
          <w:lang w:val="en-US" w:eastAsia="zh-CN" w:bidi="ar"/>
        </w:rPr>
        <w:t>12、</w:t>
      </w:r>
      <w:r>
        <w:rPr>
          <w:rFonts w:hint="eastAsia" w:ascii="宋体" w:hAnsi="宋体" w:eastAsia="宋体" w:cs="宋体"/>
          <w:b/>
          <w:bCs/>
          <w:color w:val="auto"/>
          <w:kern w:val="0"/>
          <w:sz w:val="24"/>
          <w:szCs w:val="24"/>
          <w:highlight w:val="none"/>
          <w:lang w:val="en-US" w:eastAsia="zh-CN" w:bidi="ar"/>
        </w:rPr>
        <w:t>其他约定</w:t>
      </w:r>
    </w:p>
    <w:p w14:paraId="603274D0">
      <w:pPr>
        <w:keepNext w:val="0"/>
        <w:keepLines w:val="0"/>
        <w:widowControl w:val="0"/>
        <w:suppressLineNumbers w:val="0"/>
        <w:spacing w:before="0" w:beforeAutospacing="0" w:after="0" w:afterAutospacing="0" w:line="360" w:lineRule="auto"/>
        <w:ind w:left="0" w:right="0" w:firstLine="600" w:firstLineChars="25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12.1本合同未尽事宜，买卖双方另行补充。</w:t>
      </w:r>
    </w:p>
    <w:p w14:paraId="7DA005EC">
      <w:pPr>
        <w:keepNext w:val="0"/>
        <w:keepLines w:val="0"/>
        <w:widowControl w:val="0"/>
        <w:suppressLineNumbers w:val="0"/>
        <w:spacing w:before="0" w:beforeAutospacing="0" w:after="0" w:afterAutospacing="0" w:line="360" w:lineRule="auto"/>
        <w:ind w:left="0" w:right="0" w:firstLine="600" w:firstLineChars="25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12.2卖方同意，由卖方</w:t>
      </w:r>
      <w:r>
        <w:rPr>
          <w:rFonts w:hint="eastAsia" w:ascii="宋体" w:hAnsi="宋体" w:eastAsia="宋体" w:cs="宋体"/>
          <w:bCs/>
          <w:color w:val="auto"/>
          <w:kern w:val="0"/>
          <w:sz w:val="24"/>
          <w:szCs w:val="24"/>
          <w:highlight w:val="none"/>
          <w:lang w:val="en-US" w:eastAsia="zh-CN" w:bidi="ar"/>
        </w:rPr>
        <w:t>依据与使用单位的维保服务合同直接向使用单位履行维修保障等售后服务义务。</w:t>
      </w:r>
    </w:p>
    <w:p w14:paraId="3620E902">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rPr>
      </w:pPr>
      <w:r>
        <w:rPr>
          <w:rFonts w:hint="eastAsia" w:ascii="宋体" w:hAnsi="宋体" w:eastAsia="宋体" w:cs="宋体"/>
          <w:color w:val="auto"/>
          <w:kern w:val="2"/>
          <w:sz w:val="24"/>
          <w:szCs w:val="24"/>
          <w:highlight w:val="none"/>
          <w:lang w:val="en-US" w:eastAsia="zh-CN" w:bidi="ar"/>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0B8B91FF">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i w:val="0"/>
          <w:iCs w:val="0"/>
          <w:caps w:val="0"/>
          <w:color w:val="auto"/>
          <w:spacing w:val="0"/>
          <w:kern w:val="2"/>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200C2926">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i w:val="0"/>
          <w:iCs w:val="0"/>
          <w:caps w:val="0"/>
          <w:color w:val="auto"/>
          <w:spacing w:val="0"/>
          <w:kern w:val="2"/>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4B10D87C">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i w:val="0"/>
          <w:iCs w:val="0"/>
          <w:caps w:val="0"/>
          <w:color w:val="auto"/>
          <w:spacing w:val="0"/>
          <w:kern w:val="2"/>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4650057A">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color w:val="auto"/>
          <w:kern w:val="2"/>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7551781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12.4本合同经双方盖章之日起生效。一式伍份，买方贰份，卖方贰份，送厦门市财政局政府采购监管处备案壹份，具有同等法律效力。</w:t>
      </w:r>
    </w:p>
    <w:p w14:paraId="4C9B8909">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12"/>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14:paraId="6A9E7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8" w:hRule="atLeast"/>
          <w:jc w:val="center"/>
        </w:trPr>
        <w:tc>
          <w:tcPr>
            <w:tcW w:w="771" w:type="pct"/>
            <w:shd w:val="clear" w:color="auto" w:fill="auto"/>
            <w:vAlign w:val="center"/>
          </w:tcPr>
          <w:p w14:paraId="2D9E0169">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shd w:val="clear" w:color="auto" w:fill="auto"/>
            <w:vAlign w:val="center"/>
          </w:tcPr>
          <w:p w14:paraId="2AC4B938">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shd w:val="clear" w:color="auto" w:fill="auto"/>
            <w:vAlign w:val="center"/>
          </w:tcPr>
          <w:p w14:paraId="3942524E">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shd w:val="clear" w:color="auto" w:fill="auto"/>
            <w:vAlign w:val="center"/>
          </w:tcPr>
          <w:p w14:paraId="429C9749">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0760A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shd w:val="clear" w:color="auto" w:fill="auto"/>
            <w:vAlign w:val="center"/>
          </w:tcPr>
          <w:p w14:paraId="68D3268F">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shd w:val="clear" w:color="auto" w:fill="auto"/>
            <w:vAlign w:val="center"/>
          </w:tcPr>
          <w:p w14:paraId="0938413A">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shd w:val="clear" w:color="auto" w:fill="auto"/>
            <w:vAlign w:val="center"/>
          </w:tcPr>
          <w:p w14:paraId="2757DCF5">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shd w:val="clear" w:color="auto" w:fill="auto"/>
            <w:vAlign w:val="center"/>
          </w:tcPr>
          <w:p w14:paraId="6C50334A">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04B97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shd w:val="clear" w:color="auto" w:fill="auto"/>
            <w:vAlign w:val="center"/>
          </w:tcPr>
          <w:p w14:paraId="063B391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shd w:val="clear" w:color="auto" w:fill="auto"/>
            <w:vAlign w:val="center"/>
          </w:tcPr>
          <w:p w14:paraId="3CB86062">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054BF315">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shd w:val="clear" w:color="auto" w:fill="auto"/>
            <w:vAlign w:val="center"/>
          </w:tcPr>
          <w:p w14:paraId="36CB73C1">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16BD2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42" w:hRule="atLeast"/>
          <w:jc w:val="center"/>
        </w:trPr>
        <w:tc>
          <w:tcPr>
            <w:tcW w:w="771" w:type="pct"/>
            <w:shd w:val="clear" w:color="auto" w:fill="auto"/>
            <w:vAlign w:val="center"/>
          </w:tcPr>
          <w:p w14:paraId="0CE9613A">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shd w:val="clear" w:color="auto" w:fill="auto"/>
            <w:vAlign w:val="center"/>
          </w:tcPr>
          <w:p w14:paraId="61462DAC">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40616F41">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shd w:val="clear" w:color="auto" w:fill="auto"/>
            <w:vAlign w:val="center"/>
          </w:tcPr>
          <w:p w14:paraId="759274DF">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04872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shd w:val="clear" w:color="auto" w:fill="auto"/>
            <w:vAlign w:val="center"/>
          </w:tcPr>
          <w:p w14:paraId="10A4C1FE">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shd w:val="clear" w:color="auto" w:fill="auto"/>
            <w:vAlign w:val="center"/>
          </w:tcPr>
          <w:p w14:paraId="41E3628B">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0C49F57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shd w:val="clear" w:color="auto" w:fill="auto"/>
            <w:vAlign w:val="center"/>
          </w:tcPr>
          <w:p w14:paraId="3803C3C3">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63291B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shd w:val="clear" w:color="auto" w:fill="auto"/>
            <w:vAlign w:val="center"/>
          </w:tcPr>
          <w:p w14:paraId="5865A761">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shd w:val="clear" w:color="auto" w:fill="auto"/>
            <w:vAlign w:val="center"/>
          </w:tcPr>
          <w:p w14:paraId="7D235810">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shd w:val="clear" w:color="auto" w:fill="auto"/>
            <w:vAlign w:val="center"/>
          </w:tcPr>
          <w:p w14:paraId="3286812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shd w:val="clear" w:color="auto" w:fill="auto"/>
            <w:vAlign w:val="center"/>
          </w:tcPr>
          <w:p w14:paraId="0A5156FC">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p>
        </w:tc>
      </w:tr>
      <w:tr w14:paraId="43202F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shd w:val="clear" w:color="auto" w:fill="auto"/>
            <w:vAlign w:val="center"/>
          </w:tcPr>
          <w:p w14:paraId="76C6097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shd w:val="clear" w:color="auto" w:fill="auto"/>
            <w:vAlign w:val="center"/>
          </w:tcPr>
          <w:p w14:paraId="29D98DF3">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794" w:type="pct"/>
            <w:shd w:val="clear" w:color="auto" w:fill="auto"/>
            <w:vAlign w:val="center"/>
          </w:tcPr>
          <w:p w14:paraId="4B3348C7">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shd w:val="clear" w:color="auto" w:fill="auto"/>
            <w:vAlign w:val="center"/>
          </w:tcPr>
          <w:p w14:paraId="3F0E0CD6">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p>
        </w:tc>
      </w:tr>
      <w:tr w14:paraId="05060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shd w:val="clear" w:color="auto" w:fill="auto"/>
            <w:vAlign w:val="center"/>
          </w:tcPr>
          <w:p w14:paraId="5678032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shd w:val="clear" w:color="auto" w:fill="auto"/>
            <w:vAlign w:val="center"/>
          </w:tcPr>
          <w:p w14:paraId="1F138D5F">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shd w:val="clear" w:color="auto" w:fill="auto"/>
            <w:vAlign w:val="center"/>
          </w:tcPr>
          <w:p w14:paraId="207F093C">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shd w:val="clear" w:color="auto" w:fill="auto"/>
            <w:vAlign w:val="center"/>
          </w:tcPr>
          <w:p w14:paraId="40EEA02A">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2EFCA6F6">
      <w:pPr>
        <w:spacing w:line="360" w:lineRule="auto"/>
        <w:rPr>
          <w:rFonts w:hint="eastAsia" w:ascii="宋体" w:hAnsi="宋体" w:eastAsia="宋体" w:cs="宋体"/>
          <w:color w:val="auto"/>
          <w:sz w:val="24"/>
          <w:szCs w:val="24"/>
          <w:highlight w:val="none"/>
        </w:rPr>
      </w:pPr>
    </w:p>
    <w:p w14:paraId="35463ED7">
      <w:pPr>
        <w:keepNext w:val="0"/>
        <w:keepLines w:val="0"/>
        <w:widowControl/>
        <w:suppressLineNumbers w:val="0"/>
        <w:ind w:left="-850" w:leftChars="-405"/>
        <w:rPr>
          <w:rFonts w:hint="default" w:ascii="宋体" w:hAnsi="宋体" w:cs="宋体"/>
          <w:color w:val="auto"/>
          <w:sz w:val="24"/>
          <w:szCs w:val="24"/>
          <w:highlight w:val="none"/>
        </w:rPr>
      </w:pPr>
    </w:p>
    <w:p w14:paraId="1BF08B97">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6756B603">
      <w:pPr>
        <w:pStyle w:val="9"/>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1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5695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4236A04">
            <w:pPr>
              <w:pStyle w:val="20"/>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2BBE7D6">
            <w:pPr>
              <w:pStyle w:val="20"/>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910A1AD">
            <w:pPr>
              <w:pStyle w:val="20"/>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DEEAB28">
            <w:pPr>
              <w:pStyle w:val="20"/>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23A4543">
            <w:pPr>
              <w:pStyle w:val="20"/>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5932AF1">
            <w:pPr>
              <w:pStyle w:val="20"/>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F020EB8">
            <w:pPr>
              <w:pStyle w:val="20"/>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14:paraId="4694D6AA">
            <w:pPr>
              <w:pStyle w:val="20"/>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05E5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E2B952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DB9B3C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06842E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02C3B6D">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FD3835D">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689649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7A6384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87A7F96">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500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EFBB6C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38BE01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F81353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D9F8001">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233804A">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3C5509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F2C069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DA52DE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B4E1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579009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2B8F98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A9806E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418C26F">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FBD0387">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3A5C49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2EA96A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91E58E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DB2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9CA735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64FAE9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5FAD9A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FC2EC17">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8072C33">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CBEA26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6C35F7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A92663D">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F35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4A5A64B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A5CD63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D65D78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EBF4AE5">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76B37EC">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5C8BCD9">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530D5B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A4FF466">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942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5B7AFB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2B632A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93B974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EF882F5">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DF192AF">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03814DB">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A45DE6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E1F949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140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96C86C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92FFD5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9AB5A0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351FF35">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23EEE4B">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EEA326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8721B0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E3D58ED">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D60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6B5956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492464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6E36E7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38E2379">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771AF8C">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5E9D1EC">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A81CFA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BDA081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A05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FF7F7F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26F893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CF24DA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46A7841">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51DDA4D">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F9D798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1C6B4E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20EF52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39E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9F5CE2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4BBB95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6A70C7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47925F7">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5B6384A">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ED97744">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83766F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E12BD4F">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EAD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224518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027EA9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B76ED6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A632698">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269D87E">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D3338D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85E30F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1F14A17">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FBA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619971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89AD62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93CCF0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6F308C6">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4CB2EE0">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F4AC2EC">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687295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234334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9418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8C231F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BF9355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9886D2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37B73F6">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2DB796A">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684BC46">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B3FCF3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28C7F61">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961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433A95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E0F415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80E376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2E36B65">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2565550">
            <w:pPr>
              <w:pStyle w:val="20"/>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13CCD1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38F5A7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D31C6C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374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3890C219">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C44D9A7">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5D1CCD6">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7C17661D">
      <w:pPr>
        <w:spacing w:line="360" w:lineRule="auto"/>
        <w:rPr>
          <w:rFonts w:hint="default" w:ascii="宋体" w:hAnsi="宋体" w:cs="宋体"/>
          <w:color w:val="auto"/>
          <w:sz w:val="24"/>
          <w:szCs w:val="24"/>
          <w:highlight w:val="none"/>
        </w:rPr>
        <w:sectPr>
          <w:footerReference r:id="rId10" w:type="default"/>
          <w:pgSz w:w="11906" w:h="16838"/>
          <w:pgMar w:top="1440" w:right="1800" w:bottom="1440" w:left="1800" w:header="851" w:footer="992" w:gutter="0"/>
          <w:cols w:space="720" w:num="1"/>
          <w:docGrid w:type="lines" w:linePitch="312" w:charSpace="0"/>
        </w:sectPr>
      </w:pPr>
    </w:p>
    <w:p w14:paraId="56706A09">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1AF54D5C">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508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71770" cy="7526655"/>
                    </a:xfrm>
                    <a:prstGeom prst="rect">
                      <a:avLst/>
                    </a:prstGeom>
                  </pic:spPr>
                </pic:pic>
              </a:graphicData>
            </a:graphic>
          </wp:inline>
        </w:drawing>
      </w:r>
    </w:p>
    <w:p w14:paraId="02CA294F">
      <w:pPr>
        <w:spacing w:line="360" w:lineRule="auto"/>
        <w:jc w:val="center"/>
        <w:rPr>
          <w:rFonts w:ascii="宋体" w:hAnsi="宋体" w:cs="宋体"/>
          <w:b/>
          <w:bCs/>
          <w:color w:val="auto"/>
          <w:sz w:val="24"/>
          <w:szCs w:val="24"/>
          <w:highlight w:val="none"/>
        </w:rPr>
      </w:pPr>
    </w:p>
    <w:p w14:paraId="6838ACE4">
      <w:pPr>
        <w:spacing w:line="360" w:lineRule="auto"/>
        <w:rPr>
          <w:rFonts w:ascii="宋体" w:hAnsi="宋体" w:cs="宋体"/>
          <w:color w:val="auto"/>
          <w:sz w:val="24"/>
          <w:szCs w:val="24"/>
          <w:highlight w:val="none"/>
        </w:rPr>
      </w:pPr>
    </w:p>
    <w:p w14:paraId="0A4560E4">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XM2025-DZ0041C1</w:t>
      </w:r>
      <w:r>
        <w:rPr>
          <w:rFonts w:hint="eastAsia" w:ascii="宋体" w:hAnsi="宋体" w:cs="宋体"/>
          <w:b/>
          <w:bCs/>
          <w:color w:val="auto"/>
          <w:sz w:val="24"/>
          <w:szCs w:val="24"/>
          <w:highlight w:val="none"/>
        </w:rPr>
        <w:t>买卖合同</w:t>
      </w:r>
    </w:p>
    <w:p w14:paraId="272C3CE7">
      <w:pPr>
        <w:spacing w:line="360" w:lineRule="auto"/>
        <w:ind w:right="480"/>
        <w:jc w:val="center"/>
        <w:rPr>
          <w:rFonts w:ascii="宋体" w:hAnsi="宋体" w:cs="宋体"/>
          <w:color w:val="auto"/>
          <w:sz w:val="24"/>
          <w:szCs w:val="24"/>
          <w:highlight w:val="none"/>
        </w:rPr>
      </w:pPr>
    </w:p>
    <w:p w14:paraId="1B534F81">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5D024ED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1870FC1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15EA76A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现根据项目编号:</w:t>
      </w:r>
      <w:r>
        <w:rPr>
          <w:rFonts w:hint="eastAsia" w:ascii="宋体" w:hAnsi="宋体" w:cs="宋体"/>
          <w:b/>
          <w:bCs/>
          <w:color w:val="auto"/>
          <w:sz w:val="24"/>
          <w:szCs w:val="24"/>
          <w:highlight w:val="none"/>
          <w:lang w:eastAsia="zh-CN"/>
        </w:rPr>
        <w:t>XM2025-DZ0041C1</w:t>
      </w:r>
      <w:r>
        <w:rPr>
          <w:rFonts w:hint="eastAsia" w:ascii="宋体" w:hAnsi="宋体" w:eastAsia="宋体" w:cs="宋体"/>
          <w:color w:val="auto"/>
          <w:kern w:val="2"/>
          <w:sz w:val="24"/>
          <w:szCs w:val="24"/>
          <w:highlight w:val="none"/>
          <w:lang w:val="en-US" w:eastAsia="zh-CN" w:bidi="ar"/>
        </w:rPr>
        <w:t>的招标（采购）文件、投标（报价）文件以及评审结果通知书（中标/成交供应商为：</w:t>
      </w:r>
      <w:r>
        <w:rPr>
          <w:rFonts w:hint="eastAsia" w:ascii="宋体" w:hAnsi="宋体" w:eastAsia="宋体" w:cs="宋体"/>
          <w:color w:val="auto"/>
          <w:kern w:val="2"/>
          <w:sz w:val="24"/>
          <w:szCs w:val="24"/>
          <w:highlight w:val="none"/>
          <w:u w:val="single"/>
          <w:lang w:val="en-US" w:eastAsia="zh-CN" w:bidi="ar"/>
        </w:rPr>
        <w:t xml:space="preserve">             ，以下简称“供应商”</w:t>
      </w:r>
      <w:r>
        <w:rPr>
          <w:rFonts w:hint="eastAsia" w:ascii="宋体" w:hAnsi="宋体" w:eastAsia="宋体" w:cs="宋体"/>
          <w:color w:val="auto"/>
          <w:kern w:val="2"/>
          <w:sz w:val="24"/>
          <w:szCs w:val="24"/>
          <w:highlight w:val="none"/>
          <w:lang w:val="en-US" w:eastAsia="zh-CN" w:bidi="ar"/>
        </w:rPr>
        <w:t>）。买卖双方经协商一致，制定本合同，以资共同遵守：</w:t>
      </w:r>
    </w:p>
    <w:p w14:paraId="3EB39E10">
      <w:pPr>
        <w:keepNext w:val="0"/>
        <w:keepLines w:val="0"/>
        <w:widowControl w:val="0"/>
        <w:suppressLineNumbers w:val="0"/>
        <w:tabs>
          <w:tab w:val="left" w:pos="315"/>
        </w:tabs>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1、合同标的物和价格（详见附件）</w:t>
      </w:r>
    </w:p>
    <w:tbl>
      <w:tblPr>
        <w:tblStyle w:val="12"/>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4"/>
        <w:gridCol w:w="2309"/>
        <w:gridCol w:w="1851"/>
        <w:gridCol w:w="1361"/>
        <w:gridCol w:w="1695"/>
      </w:tblGrid>
      <w:tr w14:paraId="20474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765" w:type="pct"/>
            <w:tcBorders>
              <w:top w:val="single" w:color="auto" w:sz="4" w:space="0"/>
              <w:left w:val="single" w:color="auto" w:sz="4" w:space="0"/>
              <w:bottom w:val="single" w:color="auto" w:sz="4" w:space="0"/>
              <w:right w:val="single" w:color="auto" w:sz="4" w:space="0"/>
            </w:tcBorders>
            <w:shd w:val="clear" w:color="auto" w:fill="auto"/>
            <w:vAlign w:val="center"/>
          </w:tcPr>
          <w:p w14:paraId="0296D4F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品名</w:t>
            </w:r>
          </w:p>
        </w:tc>
        <w:tc>
          <w:tcPr>
            <w:tcW w:w="1355" w:type="pct"/>
            <w:tcBorders>
              <w:top w:val="single" w:color="auto" w:sz="4" w:space="0"/>
              <w:left w:val="nil"/>
              <w:bottom w:val="single" w:color="auto" w:sz="4" w:space="0"/>
              <w:right w:val="single" w:color="auto" w:sz="4" w:space="0"/>
            </w:tcBorders>
            <w:shd w:val="clear" w:color="auto" w:fill="auto"/>
            <w:vAlign w:val="center"/>
          </w:tcPr>
          <w:p w14:paraId="6A16CF2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规格</w:t>
            </w:r>
          </w:p>
        </w:tc>
        <w:tc>
          <w:tcPr>
            <w:tcW w:w="1086" w:type="pct"/>
            <w:tcBorders>
              <w:top w:val="single" w:color="auto" w:sz="4" w:space="0"/>
              <w:left w:val="nil"/>
              <w:bottom w:val="single" w:color="auto" w:sz="4" w:space="0"/>
              <w:right w:val="single" w:color="auto" w:sz="4" w:space="0"/>
            </w:tcBorders>
            <w:shd w:val="clear" w:color="auto" w:fill="auto"/>
            <w:vAlign w:val="center"/>
          </w:tcPr>
          <w:p w14:paraId="7B812BF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制造商</w:t>
            </w:r>
          </w:p>
        </w:tc>
        <w:tc>
          <w:tcPr>
            <w:tcW w:w="799" w:type="pct"/>
            <w:tcBorders>
              <w:top w:val="single" w:color="auto" w:sz="4" w:space="0"/>
              <w:left w:val="nil"/>
              <w:bottom w:val="single" w:color="auto" w:sz="4" w:space="0"/>
              <w:right w:val="single" w:color="auto" w:sz="4" w:space="0"/>
            </w:tcBorders>
            <w:shd w:val="clear" w:color="auto" w:fill="auto"/>
            <w:vAlign w:val="center"/>
          </w:tcPr>
          <w:p w14:paraId="0221C5A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数量</w:t>
            </w:r>
          </w:p>
        </w:tc>
        <w:tc>
          <w:tcPr>
            <w:tcW w:w="992" w:type="pct"/>
            <w:tcBorders>
              <w:top w:val="single" w:color="auto" w:sz="4" w:space="0"/>
              <w:left w:val="nil"/>
              <w:bottom w:val="single" w:color="auto" w:sz="4" w:space="0"/>
              <w:right w:val="single" w:color="auto" w:sz="4" w:space="0"/>
            </w:tcBorders>
            <w:shd w:val="clear" w:color="auto" w:fill="auto"/>
            <w:vAlign w:val="center"/>
          </w:tcPr>
          <w:p w14:paraId="28AAED0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eastAsia="宋体" w:cs="宋体"/>
                <w:color w:val="auto"/>
                <w:kern w:val="0"/>
                <w:sz w:val="24"/>
                <w:szCs w:val="24"/>
                <w:highlight w:val="none"/>
                <w:lang w:val="en-US" w:eastAsia="zh-CN" w:bidi="ar"/>
              </w:rPr>
              <w:t>金额</w:t>
            </w:r>
          </w:p>
        </w:tc>
      </w:tr>
      <w:tr w14:paraId="4636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65" w:type="pct"/>
            <w:tcBorders>
              <w:top w:val="nil"/>
              <w:left w:val="single" w:color="auto" w:sz="4" w:space="0"/>
              <w:bottom w:val="single" w:color="auto" w:sz="4" w:space="0"/>
              <w:right w:val="single" w:color="auto" w:sz="4" w:space="0"/>
            </w:tcBorders>
            <w:shd w:val="clear" w:color="auto" w:fill="auto"/>
            <w:vAlign w:val="center"/>
          </w:tcPr>
          <w:p w14:paraId="64FBA3F4">
            <w:pPr>
              <w:keepNext w:val="0"/>
              <w:keepLines w:val="0"/>
              <w:widowControl/>
              <w:suppressLineNumbers w:val="0"/>
              <w:spacing w:before="0" w:beforeAutospacing="0" w:after="0" w:afterAutospacing="0" w:line="360" w:lineRule="auto"/>
              <w:ind w:left="0" w:right="0"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lang w:val="en-US" w:eastAsia="zh-CN" w:bidi="ar"/>
              </w:rPr>
              <w:t>家具</w:t>
            </w:r>
          </w:p>
        </w:tc>
        <w:tc>
          <w:tcPr>
            <w:tcW w:w="1355" w:type="pct"/>
            <w:tcBorders>
              <w:top w:val="nil"/>
              <w:left w:val="nil"/>
              <w:bottom w:val="single" w:color="auto" w:sz="4" w:space="0"/>
              <w:right w:val="single" w:color="auto" w:sz="4" w:space="0"/>
            </w:tcBorders>
            <w:shd w:val="clear" w:color="auto" w:fill="auto"/>
            <w:vAlign w:val="center"/>
          </w:tcPr>
          <w:p w14:paraId="46341CB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kern w:val="2"/>
                <w:sz w:val="24"/>
                <w:szCs w:val="24"/>
                <w:highlight w:val="none"/>
              </w:rPr>
            </w:pPr>
          </w:p>
        </w:tc>
        <w:tc>
          <w:tcPr>
            <w:tcW w:w="1086" w:type="pct"/>
            <w:tcBorders>
              <w:top w:val="nil"/>
              <w:left w:val="nil"/>
              <w:bottom w:val="single" w:color="auto" w:sz="4" w:space="0"/>
              <w:right w:val="single" w:color="auto" w:sz="4" w:space="0"/>
            </w:tcBorders>
            <w:shd w:val="clear" w:color="auto" w:fill="auto"/>
            <w:vAlign w:val="center"/>
          </w:tcPr>
          <w:p w14:paraId="0FF7F7F3">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auto"/>
                <w:kern w:val="2"/>
                <w:sz w:val="24"/>
                <w:szCs w:val="24"/>
                <w:highlight w:val="none"/>
              </w:rPr>
            </w:pPr>
          </w:p>
        </w:tc>
        <w:tc>
          <w:tcPr>
            <w:tcW w:w="799" w:type="pct"/>
            <w:tcBorders>
              <w:top w:val="nil"/>
              <w:left w:val="nil"/>
              <w:bottom w:val="single" w:color="auto" w:sz="4" w:space="0"/>
              <w:right w:val="single" w:color="auto" w:sz="4" w:space="0"/>
            </w:tcBorders>
            <w:shd w:val="clear" w:color="auto" w:fill="auto"/>
            <w:vAlign w:val="center"/>
          </w:tcPr>
          <w:p w14:paraId="70418B5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2"/>
                <w:sz w:val="24"/>
                <w:szCs w:val="24"/>
                <w:highlight w:val="none"/>
                <w:lang w:val="en-US" w:eastAsia="zh-CN" w:bidi="ar"/>
              </w:rPr>
              <w:t>1批（详见附件：价格清单）</w:t>
            </w:r>
          </w:p>
        </w:tc>
        <w:tc>
          <w:tcPr>
            <w:tcW w:w="992" w:type="pct"/>
            <w:tcBorders>
              <w:top w:val="nil"/>
              <w:left w:val="nil"/>
              <w:bottom w:val="single" w:color="auto" w:sz="4" w:space="0"/>
              <w:right w:val="single" w:color="auto" w:sz="4" w:space="0"/>
            </w:tcBorders>
            <w:shd w:val="clear" w:color="auto" w:fill="auto"/>
            <w:vAlign w:val="center"/>
          </w:tcPr>
          <w:p w14:paraId="62223E9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p>
        </w:tc>
      </w:tr>
      <w:tr w14:paraId="5024E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0566B0DC">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color w:val="auto"/>
                <w:kern w:val="0"/>
                <w:sz w:val="24"/>
                <w:szCs w:val="24"/>
                <w:highlight w:val="none"/>
                <w:lang w:val="en-US" w:eastAsia="zh-CN" w:bidi="ar"/>
              </w:rPr>
              <w:t>合同总价（中标总价）：</w:t>
            </w:r>
            <w:r>
              <w:rPr>
                <w:rFonts w:hint="eastAsia" w:ascii="宋体" w:hAnsi="宋体" w:eastAsia="宋体" w:cs="宋体"/>
                <w:b/>
                <w:bCs/>
                <w:color w:val="auto"/>
                <w:kern w:val="2"/>
                <w:sz w:val="24"/>
                <w:szCs w:val="24"/>
                <w:highlight w:val="none"/>
                <w:lang w:val="en-US" w:eastAsia="zh-CN" w:bidi="ar"/>
              </w:rPr>
              <w:t>人民币</w:t>
            </w:r>
            <w:r>
              <w:rPr>
                <w:rFonts w:hint="eastAsia" w:ascii="宋体" w:hAnsi="宋体" w:eastAsia="宋体" w:cs="宋体"/>
                <w:b/>
                <w:bCs/>
                <w:color w:val="auto"/>
                <w:kern w:val="2"/>
                <w:sz w:val="24"/>
                <w:szCs w:val="24"/>
                <w:highlight w:val="none"/>
                <w:u w:val="single"/>
                <w:lang w:val="en-US" w:eastAsia="zh-CN" w:bidi="ar"/>
              </w:rPr>
              <w:t xml:space="preserve">        </w:t>
            </w:r>
            <w:r>
              <w:rPr>
                <w:rFonts w:hint="eastAsia" w:ascii="宋体" w:hAnsi="宋体" w:eastAsia="宋体" w:cs="宋体"/>
                <w:b/>
                <w:bCs/>
                <w:color w:val="auto"/>
                <w:kern w:val="0"/>
                <w:sz w:val="24"/>
                <w:szCs w:val="24"/>
                <w:highlight w:val="none"/>
                <w:lang w:val="en-US" w:eastAsia="zh-CN" w:bidi="ar"/>
              </w:rPr>
              <w:t>元整</w:t>
            </w:r>
            <w:r>
              <w:rPr>
                <w:rFonts w:hint="eastAsia" w:ascii="宋体" w:hAnsi="宋体" w:eastAsia="宋体" w:cs="宋体"/>
                <w:bCs/>
                <w:color w:val="auto"/>
                <w:kern w:val="2"/>
                <w:sz w:val="24"/>
                <w:szCs w:val="24"/>
                <w:highlight w:val="none"/>
                <w:lang w:val="en-US" w:eastAsia="zh-CN" w:bidi="ar"/>
              </w:rPr>
              <w:t>。货物验收完成后的维修保障等售后服务由买方与供应商另行签订维保服务合同单独约定</w:t>
            </w:r>
            <w:r>
              <w:rPr>
                <w:rFonts w:hint="eastAsia" w:ascii="宋体" w:hAnsi="宋体" w:eastAsia="宋体" w:cs="宋体"/>
                <w:bCs/>
                <w:color w:val="auto"/>
                <w:kern w:val="0"/>
                <w:sz w:val="24"/>
                <w:szCs w:val="24"/>
                <w:highlight w:val="none"/>
                <w:lang w:val="en-US" w:eastAsia="zh-CN" w:bidi="ar"/>
              </w:rPr>
              <w:t>，与本合同各自独立履行、互不影响。</w:t>
            </w:r>
          </w:p>
        </w:tc>
      </w:tr>
    </w:tbl>
    <w:p w14:paraId="630B7A0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2、交货</w:t>
      </w:r>
    </w:p>
    <w:p w14:paraId="2A977C3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2.1交付使用期：合同签订之日起</w:t>
      </w:r>
      <w:r>
        <w:rPr>
          <w:rFonts w:hint="eastAsia" w:ascii="宋体" w:hAnsi="宋体" w:eastAsia="宋体" w:cs="宋体"/>
          <w:color w:val="auto"/>
          <w:kern w:val="2"/>
          <w:sz w:val="24"/>
          <w:szCs w:val="24"/>
          <w:highlight w:val="none"/>
          <w:u w:val="single"/>
          <w:lang w:val="en-US" w:eastAsia="zh-CN" w:bidi="ar"/>
        </w:rPr>
        <w:t xml:space="preserve">    </w:t>
      </w:r>
      <w:r>
        <w:rPr>
          <w:rFonts w:hint="eastAsia" w:ascii="宋体" w:hAnsi="宋体" w:eastAsia="宋体" w:cs="宋体"/>
          <w:color w:val="auto"/>
          <w:kern w:val="2"/>
          <w:sz w:val="24"/>
          <w:szCs w:val="24"/>
          <w:highlight w:val="none"/>
          <w:lang w:val="en-US" w:eastAsia="zh-CN" w:bidi="ar"/>
        </w:rPr>
        <w:t>个日历日内（含交货、安装），如买方原因或其它现场不具备条件影响送货和安装的，则交货、安装时间相应顺延。</w:t>
      </w:r>
    </w:p>
    <w:p w14:paraId="2156EFE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2.2交货地点：买方指定的地点。</w:t>
      </w:r>
    </w:p>
    <w:p w14:paraId="344B92B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2.3到货签收：合同标的物由供应商根据买方要求送货至买方指定地点，不经过卖方仓库。供应商每批次供货到买方指定地点后，买方应当对到货数量、型号等进行清点签收；如买方拒绝签收，则供应商有权拒绝交货；除疫情、自然灾害等不可抗力因素外，供应商已交货但买方未签收的，买方应按第3条确定验收时间并按照第4条约定的付款条件向卖方支付约定的货款。</w:t>
      </w:r>
    </w:p>
    <w:p w14:paraId="544C092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3、验收</w:t>
      </w:r>
    </w:p>
    <w:p w14:paraId="2844BCA2">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3.1买方负责承担合同货物安装过程中相应的协调、配合工作。</w:t>
      </w:r>
    </w:p>
    <w:p w14:paraId="5A69A3F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3.2安装工作完成后，买方负责对合同货物进行验收。买方验收合格即视为最终验收合格；若无正当理由，到货超过30日或安装后买方超过30日仍未验收且未提出书面异议的，则自前述期限届满之次日视为供应商已交货的货物最终验收合格。</w:t>
      </w:r>
    </w:p>
    <w:p w14:paraId="0E598437">
      <w:pPr>
        <w:keepNext w:val="0"/>
        <w:keepLines w:val="0"/>
        <w:widowControl/>
        <w:suppressLineNumbers w:val="0"/>
        <w:spacing w:before="0" w:beforeAutospacing="0" w:after="0" w:afterAutospacing="0" w:line="360" w:lineRule="auto"/>
        <w:ind w:left="0" w:right="0" w:firstLine="24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 xml:space="preserve"> 3.3买方在货物安装完毕后发现货物存在问题的，应在货物交付后30日内向卖方提出书面异议，逾期提出书面异议的，</w:t>
      </w:r>
      <w:r>
        <w:rPr>
          <w:rFonts w:hint="eastAsia" w:ascii="宋体" w:hAnsi="宋体" w:eastAsia="宋体" w:cs="宋体"/>
          <w:b w:val="0"/>
          <w:bCs w:val="0"/>
          <w:color w:val="auto"/>
          <w:kern w:val="2"/>
          <w:sz w:val="24"/>
          <w:szCs w:val="24"/>
          <w:highlight w:val="none"/>
          <w:lang w:val="en-US" w:eastAsia="zh-CN" w:bidi="ar"/>
        </w:rPr>
        <w:t>自前述期限届满之次日</w:t>
      </w:r>
      <w:r>
        <w:rPr>
          <w:rFonts w:hint="eastAsia" w:ascii="宋体" w:hAnsi="宋体" w:eastAsia="宋体" w:cs="宋体"/>
          <w:color w:val="auto"/>
          <w:kern w:val="2"/>
          <w:sz w:val="24"/>
          <w:szCs w:val="24"/>
          <w:highlight w:val="none"/>
          <w:lang w:val="en-US" w:eastAsia="zh-CN" w:bidi="ar"/>
        </w:rPr>
        <w:t>视为最终验收合格。</w:t>
      </w:r>
    </w:p>
    <w:p w14:paraId="25EBFAD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3.4最终验收时，买方填写《厦门市大宗货物政府采购供货验收单》中货物相关信息，签署验收意见和加盖公章，并分别提供一份给中标供应商和卖方。</w:t>
      </w:r>
    </w:p>
    <w:p w14:paraId="19D157D0">
      <w:pPr>
        <w:keepNext w:val="0"/>
        <w:keepLines w:val="0"/>
        <w:widowControl w:val="0"/>
        <w:suppressLineNumbers w:val="0"/>
        <w:tabs>
          <w:tab w:val="left" w:pos="5130"/>
        </w:tabs>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4、付款方式</w:t>
      </w:r>
    </w:p>
    <w:p w14:paraId="0905A78C">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4.1</w:t>
      </w:r>
      <w:r>
        <w:rPr>
          <w:rFonts w:hint="eastAsia" w:ascii="宋体" w:hAnsi="宋体" w:eastAsia="宋体" w:cs="宋体"/>
          <w:color w:val="auto"/>
          <w:kern w:val="2"/>
          <w:sz w:val="24"/>
          <w:szCs w:val="24"/>
          <w:highlight w:val="none"/>
          <w:lang w:val="en-US" w:eastAsia="zh-CN" w:bidi="ar"/>
        </w:rPr>
        <w:t>合同签订后15个工作日内，买方凭本合同、卖方出具的收款收据向卖方支付合同总价</w:t>
      </w:r>
      <w:r>
        <w:rPr>
          <w:rFonts w:hint="eastAsia" w:ascii="宋体" w:hAnsi="宋体" w:eastAsia="宋体" w:cs="宋体"/>
          <w:color w:val="auto"/>
          <w:kern w:val="2"/>
          <w:sz w:val="24"/>
          <w:szCs w:val="24"/>
          <w:highlight w:val="none"/>
          <w:u w:val="single"/>
          <w:lang w:val="en-US" w:eastAsia="zh-CN" w:bidi="ar"/>
        </w:rPr>
        <w:t xml:space="preserve">   </w:t>
      </w:r>
      <w:r>
        <w:rPr>
          <w:rFonts w:hint="eastAsia" w:ascii="宋体" w:hAnsi="宋体" w:eastAsia="宋体" w:cs="宋体"/>
          <w:color w:val="auto"/>
          <w:kern w:val="2"/>
          <w:sz w:val="24"/>
          <w:szCs w:val="24"/>
          <w:highlight w:val="none"/>
          <w:lang w:val="en-US" w:eastAsia="zh-CN" w:bidi="ar"/>
        </w:rPr>
        <w:t>%的预付款。</w:t>
      </w:r>
    </w:p>
    <w:p w14:paraId="29B40685">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4.2卖方供货安装、调试完毕，买方验收合格</w:t>
      </w:r>
      <w:r>
        <w:rPr>
          <w:rFonts w:hint="eastAsia" w:ascii="宋体" w:hAnsi="宋体" w:eastAsia="宋体" w:cs="宋体"/>
          <w:color w:val="auto"/>
          <w:kern w:val="2"/>
          <w:sz w:val="24"/>
          <w:szCs w:val="24"/>
          <w:highlight w:val="none"/>
          <w:lang w:val="en-US" w:eastAsia="zh-CN" w:bidi="ar"/>
        </w:rPr>
        <w:t>或满足第2.3、3.2、3.3条约定</w:t>
      </w:r>
      <w:r>
        <w:rPr>
          <w:rFonts w:hint="eastAsia" w:ascii="宋体" w:hAnsi="宋体" w:eastAsia="宋体" w:cs="宋体"/>
          <w:color w:val="auto"/>
          <w:kern w:val="2"/>
          <w:sz w:val="24"/>
          <w:szCs w:val="24"/>
          <w:highlight w:val="none"/>
          <w:lang w:val="en-US" w:eastAsia="zh-CN" w:bidi="ar"/>
        </w:rPr>
        <w:t>后，卖方开具合同总价100%的正规发票和全部货物清单给买方，买方在10个工作日内向卖方支付至本合同总价100%的款项。</w:t>
      </w:r>
    </w:p>
    <w:p w14:paraId="630B8A0D">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u w:val="single"/>
          <w:lang w:val="en-US" w:eastAsia="zh-CN" w:bidi="ar"/>
        </w:rPr>
        <w:t>4.3付款时需具备以下材料：</w:t>
      </w:r>
    </w:p>
    <w:p w14:paraId="05E87BF2">
      <w:pPr>
        <w:keepNext w:val="0"/>
        <w:keepLines w:val="0"/>
        <w:widowControl w:val="0"/>
        <w:suppressLineNumbers w:val="0"/>
        <w:tabs>
          <w:tab w:val="left" w:pos="5130"/>
        </w:tabs>
        <w:spacing w:before="0" w:beforeAutospacing="0" w:after="0" w:afterAutospacing="0" w:line="360" w:lineRule="auto"/>
        <w:ind w:left="0" w:right="0" w:firstLine="720" w:firstLineChars="300"/>
        <w:jc w:val="both"/>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u w:val="single"/>
          <w:lang w:val="en-US" w:eastAsia="zh-CN" w:bidi="ar"/>
        </w:rPr>
        <w:t>（1）买方、使用单位签署的《厦门市大宗货物政府采购供货验收单》；</w:t>
      </w:r>
    </w:p>
    <w:p w14:paraId="213C74C7">
      <w:pPr>
        <w:keepNext w:val="0"/>
        <w:keepLines w:val="0"/>
        <w:widowControl w:val="0"/>
        <w:suppressLineNumbers w:val="0"/>
        <w:tabs>
          <w:tab w:val="left" w:pos="5130"/>
        </w:tabs>
        <w:spacing w:before="0" w:beforeAutospacing="0" w:after="0" w:afterAutospacing="0" w:line="360" w:lineRule="auto"/>
        <w:ind w:left="0" w:right="0" w:firstLine="720" w:firstLineChars="300"/>
        <w:jc w:val="both"/>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u w:val="single"/>
          <w:lang w:val="en-US" w:eastAsia="zh-CN" w:bidi="ar"/>
        </w:rPr>
        <w:t>（2）货物发票（需附清单）；</w:t>
      </w:r>
    </w:p>
    <w:p w14:paraId="188534A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u w:val="single"/>
          <w:lang w:val="en-US" w:eastAsia="zh-CN" w:bidi="ar"/>
        </w:rPr>
        <w:t>4.4</w:t>
      </w:r>
      <w:r>
        <w:rPr>
          <w:rFonts w:hint="eastAsia" w:ascii="宋体" w:hAnsi="宋体" w:eastAsia="宋体" w:cs="宋体"/>
          <w:color w:val="auto"/>
          <w:kern w:val="2"/>
          <w:sz w:val="24"/>
          <w:szCs w:val="24"/>
          <w:highlight w:val="none"/>
          <w:lang w:val="en-US" w:eastAsia="zh-CN" w:bidi="ar"/>
        </w:rPr>
        <w:t>卖方指定收款账户如下：</w:t>
      </w:r>
    </w:p>
    <w:p w14:paraId="5477F16B">
      <w:pPr>
        <w:keepNext w:val="0"/>
        <w:keepLines w:val="0"/>
        <w:widowControl w:val="0"/>
        <w:suppressLineNumbers w:val="0"/>
        <w:spacing w:before="0" w:beforeAutospacing="0" w:after="0" w:afterAutospacing="0" w:line="360" w:lineRule="auto"/>
        <w:ind w:left="0" w:right="0" w:firstLine="720" w:firstLineChars="300"/>
        <w:jc w:val="both"/>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lang w:val="en-US" w:eastAsia="zh-CN" w:bidi="ar"/>
        </w:rPr>
        <w:t>卖方全称：厦门万翔网络商务有限公司</w:t>
      </w:r>
    </w:p>
    <w:p w14:paraId="00B39285">
      <w:pPr>
        <w:keepNext w:val="0"/>
        <w:keepLines w:val="0"/>
        <w:widowControl w:val="0"/>
        <w:suppressLineNumbers w:val="0"/>
        <w:spacing w:before="0" w:beforeAutospacing="0" w:after="0" w:afterAutospacing="0" w:line="360" w:lineRule="auto"/>
        <w:ind w:left="0" w:right="0" w:firstLine="720" w:firstLineChars="3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开户行：</w:t>
      </w:r>
      <w:r>
        <w:rPr>
          <w:rFonts w:hint="eastAsia" w:ascii="宋体" w:hAnsi="宋体" w:eastAsia="宋体" w:cs="宋体"/>
          <w:color w:val="auto"/>
          <w:kern w:val="2"/>
          <w:sz w:val="24"/>
          <w:szCs w:val="24"/>
          <w:highlight w:val="none"/>
          <w:u w:val="single"/>
          <w:lang w:val="en-US" w:eastAsia="zh-CN" w:bidi="ar"/>
        </w:rPr>
        <w:t>中国建设银行股份有限公司厦门自贸试验区航空港支行</w:t>
      </w:r>
    </w:p>
    <w:p w14:paraId="6249BD79">
      <w:pPr>
        <w:keepNext w:val="0"/>
        <w:keepLines w:val="0"/>
        <w:widowControl w:val="0"/>
        <w:suppressLineNumbers w:val="0"/>
        <w:spacing w:before="0" w:beforeAutospacing="0" w:after="0" w:afterAutospacing="0" w:line="360" w:lineRule="auto"/>
        <w:ind w:left="0" w:right="0" w:firstLine="720" w:firstLineChars="3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账号：</w:t>
      </w:r>
      <w:r>
        <w:rPr>
          <w:rFonts w:hint="eastAsia" w:ascii="宋体" w:hAnsi="宋体" w:eastAsia="宋体" w:cs="宋体"/>
          <w:color w:val="auto"/>
          <w:kern w:val="2"/>
          <w:sz w:val="24"/>
          <w:szCs w:val="24"/>
          <w:highlight w:val="none"/>
          <w:u w:val="single"/>
          <w:lang w:val="en-US" w:eastAsia="zh-CN" w:bidi="ar"/>
        </w:rPr>
        <w:t>35101570201052503924</w:t>
      </w:r>
    </w:p>
    <w:p w14:paraId="30FE9F8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5、售后服务</w:t>
      </w:r>
    </w:p>
    <w:p w14:paraId="5F6A05D9">
      <w:pPr>
        <w:keepNext w:val="0"/>
        <w:keepLines w:val="0"/>
        <w:widowControl w:val="0"/>
        <w:suppressLineNumbers w:val="0"/>
        <w:tabs>
          <w:tab w:val="left" w:pos="0"/>
        </w:tabs>
        <w:adjustRightInd w:val="0"/>
        <w:spacing w:before="0" w:beforeAutospacing="0" w:after="0" w:afterAutospacing="0" w:line="360" w:lineRule="auto"/>
        <w:ind w:left="0" w:right="0" w:firstLine="480" w:firstLineChars="200"/>
        <w:jc w:val="both"/>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bidi="ar"/>
        </w:rPr>
        <w:t>本合同不包含货物验收后的维修保障等售后服务。货物验收后的维修保障等售后服务由</w:t>
      </w:r>
      <w:r>
        <w:rPr>
          <w:rFonts w:hint="eastAsia" w:ascii="宋体" w:hAnsi="宋体" w:eastAsia="宋体" w:cs="宋体"/>
          <w:bCs/>
          <w:color w:val="auto"/>
          <w:kern w:val="2"/>
          <w:sz w:val="24"/>
          <w:szCs w:val="24"/>
          <w:highlight w:val="none"/>
          <w:u w:val="single"/>
          <w:lang w:val="en-US" w:eastAsia="zh-CN" w:bidi="ar"/>
        </w:rPr>
        <w:t>供应商</w:t>
      </w:r>
      <w:r>
        <w:rPr>
          <w:rFonts w:hint="eastAsia" w:ascii="宋体" w:hAnsi="宋体" w:eastAsia="宋体" w:cs="宋体"/>
          <w:bCs/>
          <w:color w:val="auto"/>
          <w:kern w:val="0"/>
          <w:sz w:val="24"/>
          <w:szCs w:val="24"/>
          <w:highlight w:val="none"/>
          <w:u w:val="single"/>
          <w:lang w:val="en-US" w:eastAsia="zh-CN" w:bidi="ar"/>
        </w:rPr>
        <w:t>提供，买方应就货物</w:t>
      </w:r>
      <w:r>
        <w:rPr>
          <w:rFonts w:hint="eastAsia" w:ascii="宋体" w:hAnsi="宋体" w:eastAsia="宋体" w:cs="宋体"/>
          <w:bCs/>
          <w:color w:val="auto"/>
          <w:kern w:val="2"/>
          <w:sz w:val="24"/>
          <w:szCs w:val="24"/>
          <w:highlight w:val="none"/>
          <w:lang w:val="en-US" w:eastAsia="zh-CN" w:bidi="ar"/>
        </w:rPr>
        <w:t>维修保障</w:t>
      </w:r>
      <w:r>
        <w:rPr>
          <w:rFonts w:hint="eastAsia" w:ascii="宋体" w:hAnsi="宋体" w:eastAsia="宋体" w:cs="宋体"/>
          <w:bCs/>
          <w:color w:val="auto"/>
          <w:kern w:val="0"/>
          <w:sz w:val="24"/>
          <w:szCs w:val="24"/>
          <w:highlight w:val="none"/>
          <w:u w:val="single"/>
          <w:lang w:val="en-US" w:eastAsia="zh-CN" w:bidi="ar"/>
        </w:rPr>
        <w:t>等售后服务与供应商另行签订相应维保服务合同，卖方不向买方承担</w:t>
      </w:r>
      <w:r>
        <w:rPr>
          <w:rFonts w:hint="eastAsia" w:ascii="宋体" w:hAnsi="宋体" w:eastAsia="宋体" w:cs="宋体"/>
          <w:bCs/>
          <w:color w:val="auto"/>
          <w:kern w:val="2"/>
          <w:sz w:val="24"/>
          <w:szCs w:val="24"/>
          <w:highlight w:val="none"/>
          <w:lang w:val="en-US" w:eastAsia="zh-CN" w:bidi="ar"/>
        </w:rPr>
        <w:t>维修保障</w:t>
      </w:r>
      <w:r>
        <w:rPr>
          <w:rFonts w:hint="eastAsia" w:ascii="宋体" w:hAnsi="宋体" w:eastAsia="宋体" w:cs="宋体"/>
          <w:bCs/>
          <w:color w:val="auto"/>
          <w:kern w:val="0"/>
          <w:sz w:val="24"/>
          <w:szCs w:val="24"/>
          <w:highlight w:val="none"/>
          <w:u w:val="single"/>
          <w:lang w:val="en-US" w:eastAsia="zh-CN" w:bidi="ar"/>
        </w:rPr>
        <w:t>等售后服务义务</w:t>
      </w:r>
      <w:r>
        <w:rPr>
          <w:rFonts w:hint="eastAsia" w:ascii="宋体" w:hAnsi="宋体" w:eastAsia="宋体" w:cs="宋体"/>
          <w:bCs/>
          <w:color w:val="auto"/>
          <w:kern w:val="2"/>
          <w:sz w:val="24"/>
          <w:szCs w:val="24"/>
          <w:highlight w:val="none"/>
          <w:lang w:val="en-US" w:eastAsia="zh-CN" w:bidi="ar"/>
        </w:rPr>
        <w:t>。</w:t>
      </w:r>
    </w:p>
    <w:p w14:paraId="6D607FA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6、违约责任</w:t>
      </w:r>
    </w:p>
    <w:p w14:paraId="1018353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6.1除不可抗力外，买方不能在本合同规定的时间内支付相应的货款时,卖方有权要求买方支付违约金,其支付办法是,每延迟一日,违约金为逾期应付款的万分之四,依此累加。</w:t>
      </w:r>
    </w:p>
    <w:p w14:paraId="60B6724F">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6.2除不可抗力外，因卖方自身原因不能按时交货或完成安装时,应提前五天以书面的形式通知买方,并征得买方同意,否则应向买方支付违约金,其支付办法是,每延迟一日,违约金为逾期交货或安装部分价款的万分之四，依此累加。</w:t>
      </w:r>
    </w:p>
    <w:p w14:paraId="46E53412">
      <w:pPr>
        <w:keepNext w:val="0"/>
        <w:keepLines w:val="0"/>
        <w:widowControl w:val="0"/>
        <w:suppressLineNumbers w:val="0"/>
        <w:spacing w:before="0" w:beforeAutospacing="0" w:after="0" w:afterAutospacing="0" w:line="360" w:lineRule="auto"/>
        <w:ind w:left="0" w:right="0" w:firstLine="523" w:firstLineChars="218"/>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6.3一方违反合同造成另一方损失的，违约方应向守约方承担相应的赔偿责任。本合同约定的违约金不足以弥补守约方损失的，违约方应继续承担赔偿责任。</w:t>
      </w:r>
    </w:p>
    <w:p w14:paraId="5F3E9AB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7、不可抗力</w:t>
      </w:r>
    </w:p>
    <w:p w14:paraId="5F0018A1">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5322F06E">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7.2本合同中的不可抗力指不能预见、不能避免并不能克服的客观情况。包括但不限于：自然灾害如地震、台风、洪水、火灾。</w:t>
      </w:r>
    </w:p>
    <w:p w14:paraId="78973EAD">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b/>
          <w:bCs w:val="0"/>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7.3当事人一方因不可抗力的原因不能履行合同的，应及时通知对方，以减轻可能给对方造成的损失，并应当在合理期限内提供证明。</w:t>
      </w:r>
    </w:p>
    <w:p w14:paraId="25C8154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8、合同纠纷处理方式：</w:t>
      </w:r>
    </w:p>
    <w:p w14:paraId="1357C45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因本合同或与本合同有关的一切事项发生争议，由双方友好协商解决。协商不成的，任何一方均可向合同履行地（交货地）人民法院提起诉讼。</w:t>
      </w:r>
    </w:p>
    <w:p w14:paraId="79462E2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9、其他约定</w:t>
      </w:r>
    </w:p>
    <w:p w14:paraId="61008AF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9.1买卖双方同意，卖方供货验收完成后，卖方即履行完毕所有合同义务。</w:t>
      </w:r>
    </w:p>
    <w:p w14:paraId="6012C51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9.2本合同未尽事宜，双方另行补充。</w:t>
      </w:r>
    </w:p>
    <w:p w14:paraId="25A59AAD">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rPr>
      </w:pPr>
      <w:r>
        <w:rPr>
          <w:rFonts w:hint="eastAsia" w:ascii="宋体" w:hAnsi="宋体" w:eastAsia="宋体" w:cs="宋体"/>
          <w:color w:val="auto"/>
          <w:kern w:val="2"/>
          <w:sz w:val="24"/>
          <w:szCs w:val="24"/>
          <w:highlight w:val="none"/>
          <w:lang w:val="en-US" w:eastAsia="zh-CN" w:bidi="ar"/>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5A7BDEB5">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i w:val="0"/>
          <w:iCs w:val="0"/>
          <w:caps w:val="0"/>
          <w:color w:val="auto"/>
          <w:spacing w:val="0"/>
          <w:kern w:val="2"/>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76E79D85">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i w:val="0"/>
          <w:iCs w:val="0"/>
          <w:caps w:val="0"/>
          <w:color w:val="auto"/>
          <w:spacing w:val="0"/>
          <w:kern w:val="2"/>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5441B3F4">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i w:val="0"/>
          <w:iCs w:val="0"/>
          <w:caps w:val="0"/>
          <w:color w:val="auto"/>
          <w:spacing w:val="0"/>
          <w:kern w:val="2"/>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410E5093">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color w:val="auto"/>
          <w:kern w:val="2"/>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69462CB8">
      <w:pPr>
        <w:spacing w:line="360" w:lineRule="auto"/>
        <w:ind w:firstLine="480" w:firstLineChars="200"/>
        <w:jc w:val="both"/>
        <w:rPr>
          <w:rFonts w:hint="eastAsia" w:ascii="宋体" w:hAnsi="宋体" w:eastAsia="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
        </w:rPr>
        <w:t>9.4本合同一式伍份，经双方盖章之日起生效。买方执</w:t>
      </w:r>
      <w:r>
        <w:rPr>
          <w:rFonts w:hint="eastAsia" w:ascii="宋体" w:hAnsi="宋体" w:eastAsia="宋体" w:cs="宋体"/>
          <w:color w:val="auto"/>
          <w:kern w:val="2"/>
          <w:sz w:val="24"/>
          <w:szCs w:val="24"/>
          <w:highlight w:val="none"/>
          <w:u w:val="single"/>
          <w:lang w:val="en-US" w:eastAsia="zh-CN" w:bidi="ar"/>
        </w:rPr>
        <w:t>贰</w:t>
      </w:r>
      <w:r>
        <w:rPr>
          <w:rFonts w:hint="eastAsia" w:ascii="宋体" w:hAnsi="宋体" w:eastAsia="宋体" w:cs="宋体"/>
          <w:color w:val="auto"/>
          <w:kern w:val="2"/>
          <w:sz w:val="24"/>
          <w:szCs w:val="24"/>
          <w:highlight w:val="none"/>
          <w:lang w:val="en-US" w:eastAsia="zh-CN" w:bidi="ar"/>
        </w:rPr>
        <w:t>份，卖方执</w:t>
      </w:r>
      <w:r>
        <w:rPr>
          <w:rFonts w:hint="eastAsia" w:ascii="宋体" w:hAnsi="宋体" w:eastAsia="宋体" w:cs="宋体"/>
          <w:color w:val="auto"/>
          <w:kern w:val="2"/>
          <w:sz w:val="24"/>
          <w:szCs w:val="24"/>
          <w:highlight w:val="none"/>
          <w:u w:val="single"/>
          <w:lang w:val="en-US" w:eastAsia="zh-CN" w:bidi="ar"/>
        </w:rPr>
        <w:t>贰</w:t>
      </w:r>
      <w:r>
        <w:rPr>
          <w:rFonts w:hint="eastAsia" w:ascii="宋体" w:hAnsi="宋体" w:eastAsia="宋体" w:cs="宋体"/>
          <w:color w:val="auto"/>
          <w:kern w:val="2"/>
          <w:sz w:val="24"/>
          <w:szCs w:val="24"/>
          <w:highlight w:val="none"/>
          <w:lang w:val="en-US" w:eastAsia="zh-CN" w:bidi="ar"/>
        </w:rPr>
        <w:t>份，送厦门市财政局政府采购监管处备案壹份，具有同等法律效力。</w:t>
      </w:r>
    </w:p>
    <w:p w14:paraId="62E35F9C">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12"/>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3CEED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3D17556E">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vAlign w:val="center"/>
          </w:tcPr>
          <w:p w14:paraId="625C3244">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66561C9A">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vAlign w:val="center"/>
          </w:tcPr>
          <w:p w14:paraId="4F51A608">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419DB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181AA109">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vAlign w:val="center"/>
          </w:tcPr>
          <w:p w14:paraId="7D4B626F">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3110665">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vAlign w:val="center"/>
          </w:tcPr>
          <w:p w14:paraId="57D5BCEA">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14:paraId="066EB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14F53FDB">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vAlign w:val="center"/>
          </w:tcPr>
          <w:p w14:paraId="20A2ED32">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47B3C4F">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vAlign w:val="center"/>
          </w:tcPr>
          <w:p w14:paraId="68136C3B">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53A687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244B4D14">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vAlign w:val="center"/>
          </w:tcPr>
          <w:p w14:paraId="42D614B9">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A70283C">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vAlign w:val="center"/>
          </w:tcPr>
          <w:p w14:paraId="2809034E">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79720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6DA92A37">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vAlign w:val="center"/>
          </w:tcPr>
          <w:p w14:paraId="798B9DCC">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A02D85C">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vAlign w:val="center"/>
          </w:tcPr>
          <w:p w14:paraId="02C6B533">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68101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1FC204D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vAlign w:val="center"/>
          </w:tcPr>
          <w:p w14:paraId="4A8C2DB5">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2491F42E">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vAlign w:val="center"/>
          </w:tcPr>
          <w:p w14:paraId="39C1B036">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1E5E3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579BD8D7">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vAlign w:val="center"/>
          </w:tcPr>
          <w:p w14:paraId="4FF49782">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4C44599">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vAlign w:val="center"/>
          </w:tcPr>
          <w:p w14:paraId="33BF08E3">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14:paraId="08A8A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67ADB9B4">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vAlign w:val="center"/>
          </w:tcPr>
          <w:p w14:paraId="73BD2BB8">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vAlign w:val="center"/>
          </w:tcPr>
          <w:p w14:paraId="02636A37">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vAlign w:val="center"/>
          </w:tcPr>
          <w:p w14:paraId="4D1AD0BD">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51BE42B3">
      <w:pPr>
        <w:pStyle w:val="21"/>
        <w:widowControl/>
        <w:ind w:left="-850" w:leftChars="-405" w:firstLine="0"/>
        <w:rPr>
          <w:rFonts w:hint="default" w:ascii="华文楷体" w:hAnsi="华文楷体" w:eastAsia="华文楷体" w:cs="华文楷体"/>
          <w:b/>
          <w:bCs w:val="0"/>
          <w:color w:val="auto"/>
          <w:kern w:val="2"/>
          <w:sz w:val="28"/>
          <w:szCs w:val="28"/>
          <w:highlight w:val="none"/>
        </w:rPr>
        <w:sectPr>
          <w:footerReference r:id="rId11" w:type="default"/>
          <w:pgSz w:w="11906" w:h="16838"/>
          <w:pgMar w:top="1440" w:right="1800" w:bottom="1440" w:left="1800" w:header="851" w:footer="992" w:gutter="0"/>
          <w:cols w:space="720" w:num="1"/>
          <w:docGrid w:type="lines" w:linePitch="312" w:charSpace="0"/>
        </w:sectPr>
      </w:pPr>
    </w:p>
    <w:p w14:paraId="182BB54B">
      <w:pPr>
        <w:pStyle w:val="21"/>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160A12F6">
      <w:pPr>
        <w:pStyle w:val="22"/>
        <w:rPr>
          <w:rFonts w:hint="eastAsia" w:ascii="宋体" w:hAnsi="宋体" w:cs="宋体"/>
          <w:color w:val="auto"/>
          <w:sz w:val="24"/>
          <w:szCs w:val="24"/>
          <w:highlight w:val="none"/>
        </w:rPr>
      </w:pPr>
    </w:p>
    <w:tbl>
      <w:tblPr>
        <w:tblStyle w:val="13"/>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2918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noWrap w:val="0"/>
            <w:vAlign w:val="center"/>
          </w:tcPr>
          <w:p w14:paraId="212C43F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14:paraId="5BE43EB4">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14:paraId="6CB0B50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14:paraId="1335ECD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14:paraId="5C72D94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14:paraId="2C1392F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14:paraId="516067BA">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14:paraId="08EFEB1B">
            <w:pPr>
              <w:pStyle w:val="20"/>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73B7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02DC9C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8BCB61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AC2473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010B9BA">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A02B30E">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83032C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C2891B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A463FA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0C84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BB8851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A52C08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F9D696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D43CBD4">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6BCBBC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8594B4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F44EFB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9E251A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7BA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22E449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7CB0CA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1B3E9F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20991BB">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B05FA5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30FF14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D5BF87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43CEF2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0C3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5E35C2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A77CA5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0CACC1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E3F4987">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96BF4C8">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9C8C6E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7B9923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CEC2FE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2AE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2A5DF0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F2D4E5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EFF4F3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06EED08">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B584A9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3398E23">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DEFD6B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EB3CB9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820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36B8F1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4662BF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2E03AE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15B632B">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E70DF3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F7674C7">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9445A8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7721FD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F149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B25A9E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3CB749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FEB1DF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3F7FC00">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B500FCB">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EBFD85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3E50DD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83D2178">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0DA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E5242B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0F85A1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C11F6B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C24375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0E8A752">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59612D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8A37E6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5FCF14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F87C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19DA36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4043A4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97AFE4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39A88C6">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0D26150">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287EF5B">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F1E8B6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BAF79C8">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DD3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71B6E1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553575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C209F5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BCA6578">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F3DAAF5">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C25314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AFC527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C4CDB6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A55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698F9B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5D3F766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10859B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1F43FF2">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33104B2">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53FC95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FE1217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138138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327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D9C8DC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0FEF2A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BC5263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E62048A">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764BB01">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F240D4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96B2E5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AA5EDB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1E3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0AC189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38FBA2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536C86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CD2BCB2">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D2AD5BE">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D94D89F">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35A648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231633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D3D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6C3181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90F6AF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B399BD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1F430DC">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533576F">
            <w:pPr>
              <w:pStyle w:val="20"/>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A3F2C2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E1783F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C8587E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7341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14:paraId="1B2D4F33">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14:paraId="4D0B40EA">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7D9B617">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5631689E">
      <w:pPr>
        <w:pStyle w:val="21"/>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cols w:space="720" w:num="1"/>
          <w:docGrid w:type="lines" w:linePitch="312" w:charSpace="0"/>
        </w:sectPr>
      </w:pPr>
    </w:p>
    <w:p w14:paraId="37E2CE25">
      <w:pPr>
        <w:pStyle w:val="21"/>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3F9FD61E">
      <w:pPr>
        <w:rPr>
          <w:rFonts w:hint="eastAsia" w:ascii="宋体" w:hAnsi="宋体" w:cs="宋体"/>
          <w:color w:val="auto"/>
          <w:sz w:val="24"/>
          <w:szCs w:val="24"/>
          <w:highlight w:val="none"/>
        </w:rPr>
      </w:pPr>
    </w:p>
    <w:p w14:paraId="7C51890E">
      <w:pPr>
        <w:pStyle w:val="21"/>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2540" b="14605"/>
            <wp:docPr id="3"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副本验收报告格式(最终稿）(2)"/>
                    <pic:cNvPicPr>
                      <a:picLocks noChangeAspect="1"/>
                    </pic:cNvPicPr>
                  </pic:nvPicPr>
                  <pic:blipFill>
                    <a:blip r:embed="rId15"/>
                    <a:stretch>
                      <a:fillRect/>
                    </a:stretch>
                  </pic:blipFill>
                  <pic:spPr>
                    <a:xfrm>
                      <a:off x="0" y="0"/>
                      <a:ext cx="5274310" cy="7529195"/>
                    </a:xfrm>
                    <a:prstGeom prst="rect">
                      <a:avLst/>
                    </a:prstGeom>
                    <a:noFill/>
                    <a:ln>
                      <a:noFill/>
                    </a:ln>
                  </pic:spPr>
                </pic:pic>
              </a:graphicData>
            </a:graphic>
          </wp:inline>
        </w:drawing>
      </w:r>
    </w:p>
    <w:p w14:paraId="533FC26D">
      <w:pPr>
        <w:spacing w:line="360" w:lineRule="auto"/>
        <w:rPr>
          <w:rFonts w:ascii="宋体" w:hAnsi="宋体" w:cs="宋体"/>
          <w:color w:val="auto"/>
          <w:sz w:val="24"/>
          <w:szCs w:val="24"/>
          <w:highlight w:val="none"/>
        </w:rPr>
      </w:pPr>
    </w:p>
    <w:p w14:paraId="1AF02249">
      <w:pPr>
        <w:rPr>
          <w:color w:val="auto"/>
          <w:highlight w:val="none"/>
        </w:rPr>
      </w:pPr>
    </w:p>
    <w:sectPr>
      <w:footerReference r:id="rId12"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0"/>
    <w:family w:val="auto"/>
    <w:pitch w:val="default"/>
    <w:sig w:usb0="00000000" w:usb1="00000000" w:usb2="00000000" w:usb3="00000000" w:csb0="80000000" w:csb1="00000000"/>
  </w:font>
  <w:font w:name="华文楷体">
    <w:altName w:val="宋体"/>
    <w:panose1 w:val="02010600040101010101"/>
    <w:charset w:val="86"/>
    <w:family w:val="auto"/>
    <w:pitch w:val="default"/>
    <w:sig w:usb0="00000000" w:usb1="00000000" w:usb2="00000000" w:usb3="00000000" w:csb0="0004009F" w:csb1="DFD7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F5F7F">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B966">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DB59B">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573DF">
    <w:pPr>
      <w:pStyle w:val="7"/>
      <w:jc w:val="center"/>
      <w:rPr>
        <w:rFonts w:ascii="宋体" w:hAnsi="宋体"/>
      </w:rPr>
    </w:pPr>
    <w:r>
      <w:rPr>
        <w:rStyle w:val="16"/>
        <w:rFonts w:ascii="宋体" w:hAnsi="宋体"/>
        <w:szCs w:val="20"/>
      </w:rPr>
      <w:t>2-1-</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28</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814A9">
    <w:pPr>
      <w:pStyle w:val="7"/>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D2CA8">
    <w:pPr>
      <w:pStyle w:val="7"/>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E58A3">
    <w:pPr>
      <w:pStyle w:val="7"/>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B554F">
    <w:pPr>
      <w:pStyle w:val="7"/>
      <w:tabs>
        <w:tab w:val="right" w:pos="8460"/>
        <w:tab w:val="clear" w:pos="8306"/>
      </w:tabs>
      <w:ind w:right="-89" w:firstLine="420"/>
      <w:jc w:val="center"/>
      <w:rPr>
        <w:rFonts w:ascii="宋体" w:hAnsi="宋体"/>
      </w:rP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E7056">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8CFCE">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58787C"/>
    <w:rsid w:val="767D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szCs w:val="20"/>
    </w:rPr>
  </w:style>
  <w:style w:type="paragraph" w:styleId="6">
    <w:name w:val="Body Text Indent 2"/>
    <w:basedOn w:val="1"/>
    <w:qFormat/>
    <w:uiPriority w:val="0"/>
    <w:pPr>
      <w:spacing w:after="120" w:line="480" w:lineRule="auto"/>
      <w:ind w:left="420"/>
    </w:pPr>
    <w:rPr>
      <w:rFonts w:ascii="Times New Roman" w:hAnsi="Times New Roman"/>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w:basedOn w:val="3"/>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1">
    <w:name w:val="Body Text First Indent 2"/>
    <w:basedOn w:val="4"/>
    <w:next w:val="1"/>
    <w:qFormat/>
    <w:uiPriority w:val="0"/>
    <w:pPr>
      <w:ind w:firstLine="420" w:firstLineChars="200"/>
    </w:pPr>
  </w:style>
  <w:style w:type="table" w:styleId="13">
    <w:name w:val="Table Grid"/>
    <w:basedOn w:val="12"/>
    <w:qFormat/>
    <w:uiPriority w:val="59"/>
    <w:pPr>
      <w:keepNext w:val="0"/>
      <w:keepLines w:val="0"/>
      <w:widowControl w:val="0"/>
      <w:suppressLineNumbers w:val="0"/>
      <w:spacing w:before="0" w:beforeAutospacing="0" w:after="0" w:afterAutospacing="0"/>
      <w:ind w:left="0" w:right="0"/>
      <w:jc w:val="both"/>
    </w:pPr>
    <w:rPr>
      <w:rFonts w:hint="default" w:ascii="Calibri" w:hAnsi="Calibri"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Fließtext"/>
    <w:basedOn w:val="1"/>
    <w:qFormat/>
    <w:uiPriority w:val="0"/>
    <w:pPr>
      <w:overflowPunct w:val="0"/>
      <w:autoSpaceDE w:val="0"/>
      <w:autoSpaceDN w:val="0"/>
      <w:adjustRightInd w:val="0"/>
      <w:textAlignment w:val="baseline"/>
    </w:pPr>
    <w:rPr>
      <w:kern w:val="28"/>
      <w:szCs w:val="20"/>
    </w:rPr>
  </w:style>
  <w:style w:type="paragraph" w:customStyle="1" w:styleId="20">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21">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22">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59</Pages>
  <Words>18470</Words>
  <Characters>20503</Characters>
  <Lines>0</Lines>
  <Paragraphs>0</Paragraphs>
  <TotalTime>3</TotalTime>
  <ScaleCrop>false</ScaleCrop>
  <LinksUpToDate>false</LinksUpToDate>
  <CharactersWithSpaces>20899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2025-09-11T03:19:00Z</dcterms:created>
  <dc:creator>Dell</dc:creator>
  <cp:lastModifiedBy>陈</cp:lastModifiedBy>
  <dcterms:modified xsi:type="dcterms:W3CDTF">2025-09-12T02:39:48Z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E9F0B8C8C6F84234BC30DE6A34AE845D_12</vt:lpwstr>
  </property>
</Properties>
</file>